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9D06" w14:textId="0C60D489" w:rsidR="008247D5" w:rsidRPr="00FF2638" w:rsidRDefault="008247D5" w:rsidP="00FF2638">
      <w:pPr>
        <w:pStyle w:val="Heading1"/>
        <w:spacing w:after="240"/>
      </w:pPr>
      <w:r w:rsidRPr="00FF2638">
        <w:t>202</w:t>
      </w:r>
      <w:r w:rsidR="000F737B" w:rsidRPr="00FF2638">
        <w:t>6</w:t>
      </w:r>
      <w:r w:rsidRPr="00FF2638">
        <w:t xml:space="preserve"> Statewide School Enrollment Projection Methodology</w:t>
      </w:r>
    </w:p>
    <w:p w14:paraId="55F71893" w14:textId="2CC06662" w:rsidR="00231D8A" w:rsidRDefault="008247D5" w:rsidP="005E73CB">
      <w:pPr>
        <w:pStyle w:val="Body"/>
      </w:pPr>
      <w:r w:rsidRPr="008247D5">
        <w:t>This document describes the methodology used by the</w:t>
      </w:r>
      <w:r w:rsidR="00BB02C5">
        <w:t xml:space="preserve"> Weldon</w:t>
      </w:r>
      <w:r w:rsidRPr="008247D5">
        <w:t xml:space="preserve"> Cooper Center</w:t>
      </w:r>
      <w:r w:rsidR="00B904D6">
        <w:t xml:space="preserve"> for Public Service</w:t>
      </w:r>
      <w:r w:rsidRPr="008247D5">
        <w:t xml:space="preserve"> </w:t>
      </w:r>
      <w:r w:rsidR="00BB02C5">
        <w:t xml:space="preserve">Demographics Research Group </w:t>
      </w:r>
      <w:r w:rsidRPr="008247D5">
        <w:t>to project</w:t>
      </w:r>
      <w:r w:rsidR="00EF59F9">
        <w:t xml:space="preserve"> </w:t>
      </w:r>
      <w:r w:rsidR="00B904D6">
        <w:t xml:space="preserve">by-grade public </w:t>
      </w:r>
      <w:r w:rsidR="00EF59F9">
        <w:t xml:space="preserve">K-12 </w:t>
      </w:r>
      <w:r w:rsidRPr="008247D5">
        <w:t xml:space="preserve">enrollment </w:t>
      </w:r>
      <w:r w:rsidR="00BB02C5">
        <w:t xml:space="preserve">and </w:t>
      </w:r>
      <w:proofErr w:type="gramStart"/>
      <w:r w:rsidR="00BB02C5">
        <w:t>public school</w:t>
      </w:r>
      <w:proofErr w:type="gramEnd"/>
      <w:r w:rsidR="00BB02C5">
        <w:t xml:space="preserve"> graduates and completers </w:t>
      </w:r>
      <w:r w:rsidRPr="008247D5">
        <w:t xml:space="preserve">for each of Virginia’s </w:t>
      </w:r>
      <w:r w:rsidR="00B904D6">
        <w:t xml:space="preserve">131 </w:t>
      </w:r>
      <w:r w:rsidRPr="008247D5">
        <w:t>school divisions for the next five school years, 202</w:t>
      </w:r>
      <w:r w:rsidR="000F737B">
        <w:t>6</w:t>
      </w:r>
      <w:r w:rsidRPr="008247D5">
        <w:t>-20</w:t>
      </w:r>
      <w:r w:rsidR="000F737B">
        <w:t>30</w:t>
      </w:r>
      <w:r w:rsidRPr="008247D5">
        <w:t>.</w:t>
      </w:r>
    </w:p>
    <w:p w14:paraId="2C19B20F" w14:textId="77777777" w:rsidR="008247D5" w:rsidRDefault="008247D5" w:rsidP="005E73CB">
      <w:pPr>
        <w:pStyle w:val="Heading2"/>
      </w:pPr>
      <w:r>
        <w:t>Input Data</w:t>
      </w:r>
    </w:p>
    <w:p w14:paraId="5957F0B8" w14:textId="77777777" w:rsidR="00A93725" w:rsidRDefault="008247D5" w:rsidP="003E0B8D">
      <w:pPr>
        <w:pStyle w:val="Body"/>
      </w:pPr>
      <w:r w:rsidRPr="008247D5">
        <w:t>School enrollment projections require the use of fall membership counts and birth data. Historical and current fall membership counts record the number of students enrolled in each school division as of September 30th. These data are obtained from the Virginia Department of Education (VDOE).</w:t>
      </w:r>
    </w:p>
    <w:p w14:paraId="4DAE1FF8" w14:textId="312822DA" w:rsidR="002B5A2E" w:rsidRDefault="00A93725" w:rsidP="003E0B8D">
      <w:pPr>
        <w:pStyle w:val="Body"/>
      </w:pPr>
      <w:r>
        <w:t xml:space="preserve">In addition, VDOE provides enrollment data for students enrolled in “multidivisional online provider” </w:t>
      </w:r>
      <w:r w:rsidR="002B5A2E">
        <w:t xml:space="preserve">(MOP) </w:t>
      </w:r>
      <w:r>
        <w:t>programs, in which school divisions partner with a third party to offer full-time virtual schooling. MOP students primarily reside outside offering divisions</w:t>
      </w:r>
      <w:r w:rsidR="002B5A2E">
        <w:t>,</w:t>
      </w:r>
      <w:r>
        <w:t xml:space="preserve"> and divisions’ capacity to enroll these students </w:t>
      </w:r>
      <w:r w:rsidR="002B5A2E">
        <w:t xml:space="preserve">can </w:t>
      </w:r>
      <w:r>
        <w:t xml:space="preserve">fluctuate from year to year. </w:t>
      </w:r>
      <w:r w:rsidR="002B5A2E">
        <w:t>Because these factors can distort enrollment projections, MOP enrollment is used to remove non-</w:t>
      </w:r>
      <w:r w:rsidR="00152034">
        <w:t>local</w:t>
      </w:r>
      <w:r w:rsidR="002B5A2E">
        <w:t xml:space="preserve"> virtual students from participating divisions’ enrollment counts. As a result, non-</w:t>
      </w:r>
      <w:r w:rsidR="00152034">
        <w:t>local</w:t>
      </w:r>
      <w:r w:rsidR="002B5A2E">
        <w:t xml:space="preserve"> MOP students are not considered in </w:t>
      </w:r>
      <w:r w:rsidR="000A1C2C">
        <w:t>division-level</w:t>
      </w:r>
      <w:r w:rsidR="002B5A2E">
        <w:t xml:space="preserve"> projections. </w:t>
      </w:r>
    </w:p>
    <w:p w14:paraId="15741392" w14:textId="51460CB8" w:rsidR="002B5A2E" w:rsidRDefault="00A93725" w:rsidP="003E0B8D">
      <w:pPr>
        <w:pStyle w:val="Body"/>
      </w:pPr>
      <w:r>
        <w:t>Alternatively, non-</w:t>
      </w:r>
      <w:r w:rsidR="00152034">
        <w:t>local</w:t>
      </w:r>
      <w:r>
        <w:t xml:space="preserve"> MOP students were included in </w:t>
      </w:r>
      <w:r w:rsidR="002B5A2E">
        <w:t xml:space="preserve">the </w:t>
      </w:r>
      <w:r w:rsidR="000A1C2C">
        <w:t>state-level</w:t>
      </w:r>
      <w:r>
        <w:t xml:space="preserve"> enrollment projection as they are nevertheless Virginia students. </w:t>
      </w:r>
      <w:r w:rsidR="002B5A2E">
        <w:t>The 2025 count of non-</w:t>
      </w:r>
      <w:r w:rsidR="00152034">
        <w:t>local</w:t>
      </w:r>
      <w:r w:rsidR="002B5A2E">
        <w:t xml:space="preserve"> MOP students was held constant over the five-year projection period due to difficulties in projecting MOP enrollment. </w:t>
      </w:r>
    </w:p>
    <w:p w14:paraId="5CF73E69" w14:textId="0401F106" w:rsidR="00A93725" w:rsidRDefault="00BB02C5" w:rsidP="003E0B8D">
      <w:pPr>
        <w:pStyle w:val="Body"/>
      </w:pPr>
      <w:r>
        <w:t xml:space="preserve">Finally, birth data obtained from the Virginia Department of Health are used to project kindergarten enrollment. Cooper Center demographers geocode the residence address of each birth mother to ensure that birth data have been assigned to the correct localities. </w:t>
      </w:r>
    </w:p>
    <w:p w14:paraId="66411AA6" w14:textId="77777777" w:rsidR="008247D5" w:rsidRPr="000A22DC" w:rsidRDefault="008247D5" w:rsidP="003E0B8D">
      <w:pPr>
        <w:pStyle w:val="Heading2"/>
      </w:pPr>
      <w:r>
        <w:t>Grade Progression Ratio (GPR) Method</w:t>
      </w:r>
    </w:p>
    <w:p w14:paraId="05A20FFF" w14:textId="77777777" w:rsidR="009F4777" w:rsidRDefault="008247D5" w:rsidP="003E0B8D">
      <w:pPr>
        <w:pStyle w:val="Body"/>
      </w:pPr>
      <w:r w:rsidRPr="008247D5">
        <w:t xml:space="preserve">School enrollment projections use past school enrollment trends to forecast future school enrollment, under the assumption that these trends are likely to continue </w:t>
      </w:r>
      <w:proofErr w:type="gramStart"/>
      <w:r w:rsidRPr="008247D5">
        <w:t>in the near future</w:t>
      </w:r>
      <w:proofErr w:type="gramEnd"/>
      <w:r w:rsidRPr="008247D5">
        <w:t xml:space="preserve">. Grade progression ratios (GPRs) </w:t>
      </w:r>
      <w:r w:rsidR="000F737B">
        <w:t xml:space="preserve">capture </w:t>
      </w:r>
      <w:r w:rsidR="00D170A2">
        <w:t xml:space="preserve">enrollment trends by measuring the rate at which cohorts of students progress from one grade to the next. </w:t>
      </w:r>
      <w:r w:rsidR="009F4777">
        <w:t xml:space="preserve">For grades 1-12, </w:t>
      </w:r>
      <w:r w:rsidR="00D170A2">
        <w:t xml:space="preserve">GPRs are calculated by dividing the number of students enrolled in a particular grade by the number of students enrolled in the previous grade and school year. </w:t>
      </w:r>
    </w:p>
    <w:p w14:paraId="29275DAA" w14:textId="64C8C7B3" w:rsidR="008247D5" w:rsidRDefault="008247D5" w:rsidP="003E0B8D">
      <w:pPr>
        <w:pStyle w:val="Body"/>
      </w:pPr>
      <w:r w:rsidRPr="008247D5">
        <w:t xml:space="preserve">The kindergarten </w:t>
      </w:r>
      <w:r w:rsidR="009F4777">
        <w:t>GPR</w:t>
      </w:r>
      <w:r w:rsidRPr="008247D5">
        <w:t xml:space="preserve"> represents the rate at which eligible children (typically at least 5-years-old at the beginning of a school year) enrolled in kindergarten. This ratio is determined by dividing actual kindergarten enrollment by the number of children born within a school division’s </w:t>
      </w:r>
      <w:r w:rsidR="009F4777">
        <w:t>boundaries</w:t>
      </w:r>
      <w:r w:rsidRPr="008247D5">
        <w:t xml:space="preserve"> five years prior.</w:t>
      </w:r>
      <w:r w:rsidR="008752A9">
        <w:t xml:space="preserve"> </w:t>
      </w:r>
      <w:r w:rsidR="008752A9" w:rsidRPr="008247D5">
        <w:t>For example, 202</w:t>
      </w:r>
      <w:r w:rsidR="00D170A2">
        <w:t>6</w:t>
      </w:r>
      <w:r w:rsidR="008752A9" w:rsidRPr="008247D5">
        <w:t xml:space="preserve"> </w:t>
      </w:r>
      <w:r w:rsidR="009F4777">
        <w:t>k</w:t>
      </w:r>
      <w:r w:rsidR="008752A9" w:rsidRPr="008247D5">
        <w:t>indergarten GPRs were determined by dividing 202</w:t>
      </w:r>
      <w:r w:rsidR="00D170A2">
        <w:t>5</w:t>
      </w:r>
      <w:r w:rsidR="008752A9" w:rsidRPr="008247D5">
        <w:t xml:space="preserve"> kindergarten enrollment by the number of children born in 20</w:t>
      </w:r>
      <w:r w:rsidR="00D170A2">
        <w:t>20</w:t>
      </w:r>
      <w:r w:rsidR="008752A9" w:rsidRPr="008247D5">
        <w:t>.</w:t>
      </w:r>
      <w:r w:rsidR="000F737B">
        <w:t xml:space="preserve"> In addition, the graduate ratio is calculated by dividing the number of graduates and completers at the end of a school year by grade 12 enrollment at the beginning of the same year.  </w:t>
      </w:r>
    </w:p>
    <w:p w14:paraId="7C57B94F" w14:textId="35323DE2" w:rsidR="008247D5" w:rsidRDefault="008247D5" w:rsidP="003E0B8D">
      <w:pPr>
        <w:pStyle w:val="Body"/>
      </w:pPr>
      <w:r w:rsidRPr="008247D5">
        <w:lastRenderedPageBreak/>
        <w:t xml:space="preserve">GPRs capture the impact of school transfers, migration, </w:t>
      </w:r>
      <w:r w:rsidR="009F4777">
        <w:t>and dropouts</w:t>
      </w:r>
      <w:r w:rsidRPr="008247D5">
        <w:t>. GPRs greater than 1.0 mean that the number of students enrolled in a grade is greater than those of the previous grade one year prior. Alternatively, GPRs less than 1.0 indicate that fewer students progressed from the previous grade into the next grade. Year-to-year fluctuations in GPRs can obscure school enrollment trends. Therefore, multiple GPRs are often combined into a single measure to “smooth” these fluctuations.</w:t>
      </w:r>
    </w:p>
    <w:p w14:paraId="6B333E99" w14:textId="0F590F58" w:rsidR="00223919" w:rsidRDefault="00223919" w:rsidP="003E0B8D">
      <w:pPr>
        <w:pStyle w:val="Body"/>
      </w:pPr>
      <w:r>
        <w:t xml:space="preserve">The 2026-2030 projections use GPRs derived from 2022-2025 enrollment data to project enrollment for grades K-12 and </w:t>
      </w:r>
      <w:proofErr w:type="gramStart"/>
      <w:r w:rsidR="00B904D6">
        <w:t>public school</w:t>
      </w:r>
      <w:proofErr w:type="gramEnd"/>
      <w:r w:rsidR="00B904D6">
        <w:t xml:space="preserve"> </w:t>
      </w:r>
      <w:r>
        <w:t xml:space="preserve">graduates and completers for all Virginia school divisions. </w:t>
      </w:r>
    </w:p>
    <w:p w14:paraId="4517CF15" w14:textId="77777777" w:rsidR="008247D5" w:rsidRDefault="008247D5" w:rsidP="003E0B8D">
      <w:pPr>
        <w:pStyle w:val="Heading2"/>
      </w:pPr>
      <w:r>
        <w:t xml:space="preserve">Control Totals </w:t>
      </w:r>
    </w:p>
    <w:p w14:paraId="4F13F52A" w14:textId="76EA0E84" w:rsidR="005E7632" w:rsidRPr="00D170A2" w:rsidRDefault="008247D5" w:rsidP="003E0B8D">
      <w:pPr>
        <w:pStyle w:val="Body"/>
      </w:pPr>
      <w:r w:rsidRPr="008247D5">
        <w:t xml:space="preserve">Projecting school enrollment at the </w:t>
      </w:r>
      <w:r w:rsidR="000A1C2C">
        <w:t>state-level</w:t>
      </w:r>
      <w:r w:rsidRPr="008247D5">
        <w:t xml:space="preserve"> typically yields a more accurate and reliable enrollment forecast than at the school </w:t>
      </w:r>
      <w:r w:rsidR="000A1C2C">
        <w:t>division-level</w:t>
      </w:r>
      <w:r w:rsidRPr="008247D5">
        <w:t xml:space="preserve">. Therefore, division-level grade projections are controlled to state totals by applying adjustment factors that marginally lower or increase the number of projected students. The combined effect of these small adjustments makes the sum of all division-level projections for a given grade match the corresponding state total.  </w:t>
      </w:r>
    </w:p>
    <w:p w14:paraId="6B0F98D9" w14:textId="753E224B" w:rsidR="00920E05" w:rsidRDefault="00920E05" w:rsidP="000F2C25">
      <w:pPr>
        <w:pStyle w:val="Body"/>
        <w:rPr>
          <w:rStyle w:val="SubtleEmphasis"/>
          <w:i w:val="0"/>
          <w:iCs w:val="0"/>
        </w:rPr>
      </w:pPr>
      <w:r w:rsidRPr="00920E05">
        <w:rPr>
          <w:rStyle w:val="SubtleEmphasis"/>
        </w:rPr>
        <w:t>Please direct any questions and feedback regarding the Cooper Center’s 202</w:t>
      </w:r>
      <w:r w:rsidR="00BB02C5">
        <w:rPr>
          <w:rStyle w:val="SubtleEmphasis"/>
        </w:rPr>
        <w:t>6</w:t>
      </w:r>
      <w:r w:rsidRPr="00920E05">
        <w:rPr>
          <w:rStyle w:val="SubtleEmphasis"/>
        </w:rPr>
        <w:t xml:space="preserve"> School Enrollment Projections to Zachary Jackson at</w:t>
      </w:r>
      <w:r>
        <w:rPr>
          <w:rStyle w:val="SubtleEmphasis"/>
        </w:rPr>
        <w:t xml:space="preserve"> </w:t>
      </w:r>
      <w:hyperlink r:id="rId8" w:history="1">
        <w:r w:rsidRPr="006416E4">
          <w:rPr>
            <w:rStyle w:val="Hyperlink"/>
          </w:rPr>
          <w:t>ten2se@virginia.edu</w:t>
        </w:r>
      </w:hyperlink>
      <w:r>
        <w:rPr>
          <w:rStyle w:val="SubtleEmphasis"/>
        </w:rPr>
        <w:t xml:space="preserve">. </w:t>
      </w:r>
    </w:p>
    <w:p w14:paraId="121E0558" w14:textId="77777777" w:rsidR="00920E05" w:rsidRDefault="00920E05" w:rsidP="007C00B3"/>
    <w:p w14:paraId="27870E58" w14:textId="77777777" w:rsidR="00E33FE7" w:rsidRDefault="00E33FE7" w:rsidP="00E33FE7"/>
    <w:p w14:paraId="43A34E43" w14:textId="77777777" w:rsidR="00E33FE7" w:rsidRDefault="00E33FE7" w:rsidP="00E33FE7"/>
    <w:p w14:paraId="3735BAEF" w14:textId="77777777" w:rsidR="00E33FE7" w:rsidRDefault="00E33FE7" w:rsidP="00E33FE7"/>
    <w:p w14:paraId="7D88A353" w14:textId="77777777" w:rsidR="00E33FE7" w:rsidRDefault="00E33FE7" w:rsidP="00E33FE7"/>
    <w:sectPr w:rsidR="00E33FE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6D50" w14:textId="77777777" w:rsidR="00821F4E" w:rsidRDefault="00821F4E" w:rsidP="008247D5">
      <w:pPr>
        <w:spacing w:after="0" w:line="240" w:lineRule="auto"/>
      </w:pPr>
      <w:r>
        <w:separator/>
      </w:r>
    </w:p>
  </w:endnote>
  <w:endnote w:type="continuationSeparator" w:id="0">
    <w:p w14:paraId="4C3B57E9" w14:textId="77777777" w:rsidR="00821F4E" w:rsidRDefault="00821F4E" w:rsidP="0082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D1C2" w14:textId="77777777" w:rsidR="00821F4E" w:rsidRDefault="00821F4E" w:rsidP="008247D5">
      <w:pPr>
        <w:spacing w:after="0" w:line="240" w:lineRule="auto"/>
      </w:pPr>
      <w:r>
        <w:separator/>
      </w:r>
    </w:p>
  </w:footnote>
  <w:footnote w:type="continuationSeparator" w:id="0">
    <w:p w14:paraId="362E55F1" w14:textId="77777777" w:rsidR="00821F4E" w:rsidRDefault="00821F4E" w:rsidP="00824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D698E"/>
    <w:multiLevelType w:val="hybridMultilevel"/>
    <w:tmpl w:val="61B28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65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HuehCAPaxSTvBL42r+hqLVPLPI5fwlu0b39dmI6Hdmhhusxe3LDtEo1zPFunmhf4QtKZCUuaZQ1t8V1taD7g3w==" w:salt="T9MH8KdUU4CLltFFLxdBqA=="/>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D5"/>
    <w:rsid w:val="000A1C2C"/>
    <w:rsid w:val="000F2C25"/>
    <w:rsid w:val="000F737B"/>
    <w:rsid w:val="00152034"/>
    <w:rsid w:val="001D6F71"/>
    <w:rsid w:val="00223919"/>
    <w:rsid w:val="00231D8A"/>
    <w:rsid w:val="002738E1"/>
    <w:rsid w:val="002B5A2E"/>
    <w:rsid w:val="003E0B8D"/>
    <w:rsid w:val="00474DAA"/>
    <w:rsid w:val="00515055"/>
    <w:rsid w:val="005B6B80"/>
    <w:rsid w:val="005D549C"/>
    <w:rsid w:val="005E73CB"/>
    <w:rsid w:val="005E7632"/>
    <w:rsid w:val="006A0C8D"/>
    <w:rsid w:val="0070618B"/>
    <w:rsid w:val="007A390B"/>
    <w:rsid w:val="007C00B3"/>
    <w:rsid w:val="00821F4E"/>
    <w:rsid w:val="008247D5"/>
    <w:rsid w:val="008752A9"/>
    <w:rsid w:val="00920E05"/>
    <w:rsid w:val="0093744F"/>
    <w:rsid w:val="009F4777"/>
    <w:rsid w:val="00A00716"/>
    <w:rsid w:val="00A82324"/>
    <w:rsid w:val="00A93725"/>
    <w:rsid w:val="00B716EF"/>
    <w:rsid w:val="00B904D6"/>
    <w:rsid w:val="00BB02C5"/>
    <w:rsid w:val="00C129E0"/>
    <w:rsid w:val="00C13E7F"/>
    <w:rsid w:val="00C26D4E"/>
    <w:rsid w:val="00CE6FC5"/>
    <w:rsid w:val="00D170A2"/>
    <w:rsid w:val="00D70A9E"/>
    <w:rsid w:val="00DA1E40"/>
    <w:rsid w:val="00E11CF8"/>
    <w:rsid w:val="00E33FE7"/>
    <w:rsid w:val="00E501B3"/>
    <w:rsid w:val="00EB33E0"/>
    <w:rsid w:val="00EF59F9"/>
    <w:rsid w:val="00FF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A93D"/>
  <w15:chartTrackingRefBased/>
  <w15:docId w15:val="{D6630B2F-A4DA-41E6-A28E-6693E8D0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638"/>
    <w:pPr>
      <w:keepNext/>
      <w:keepLines/>
      <w:spacing w:before="120" w:after="360"/>
      <w:outlineLvl w:val="0"/>
    </w:pPr>
    <w:rPr>
      <w:rFonts w:ascii="Aptos" w:eastAsiaTheme="majorEastAsia" w:hAnsi="Aptos" w:cstheme="majorBidi"/>
      <w:b/>
      <w:bCs/>
      <w:color w:val="232D4B"/>
      <w:sz w:val="32"/>
      <w:szCs w:val="32"/>
    </w:rPr>
  </w:style>
  <w:style w:type="paragraph" w:styleId="Heading2">
    <w:name w:val="heading 2"/>
    <w:basedOn w:val="Normal"/>
    <w:next w:val="Normal"/>
    <w:link w:val="Heading2Char"/>
    <w:uiPriority w:val="9"/>
    <w:unhideWhenUsed/>
    <w:qFormat/>
    <w:rsid w:val="005E73CB"/>
    <w:pPr>
      <w:keepNext/>
      <w:keepLines/>
      <w:spacing w:before="360" w:after="80"/>
      <w:outlineLvl w:val="1"/>
    </w:pPr>
    <w:rPr>
      <w:rFonts w:ascii="Aptos" w:eastAsiaTheme="majorEastAsia" w:hAnsi="Aptos" w:cstheme="majorBidi"/>
      <w:b/>
      <w:color w:val="232D4B"/>
      <w:sz w:val="26"/>
      <w:szCs w:val="26"/>
    </w:rPr>
  </w:style>
  <w:style w:type="paragraph" w:styleId="Heading3">
    <w:name w:val="heading 3"/>
    <w:basedOn w:val="Normal"/>
    <w:next w:val="Normal"/>
    <w:link w:val="Heading3Char"/>
    <w:uiPriority w:val="9"/>
    <w:unhideWhenUsed/>
    <w:qFormat/>
    <w:rsid w:val="008247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20E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73CB"/>
    <w:rPr>
      <w:rFonts w:ascii="Aptos" w:eastAsiaTheme="majorEastAsia" w:hAnsi="Aptos" w:cstheme="majorBidi"/>
      <w:b/>
      <w:color w:val="232D4B"/>
      <w:sz w:val="26"/>
      <w:szCs w:val="26"/>
    </w:rPr>
  </w:style>
  <w:style w:type="character" w:customStyle="1" w:styleId="Heading3Char">
    <w:name w:val="Heading 3 Char"/>
    <w:basedOn w:val="DefaultParagraphFont"/>
    <w:link w:val="Heading3"/>
    <w:uiPriority w:val="9"/>
    <w:rsid w:val="008247D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247D5"/>
    <w:pPr>
      <w:ind w:left="720"/>
      <w:contextualSpacing/>
    </w:pPr>
  </w:style>
  <w:style w:type="paragraph" w:styleId="FootnoteText">
    <w:name w:val="footnote text"/>
    <w:basedOn w:val="Normal"/>
    <w:link w:val="FootnoteTextChar"/>
    <w:uiPriority w:val="99"/>
    <w:semiHidden/>
    <w:unhideWhenUsed/>
    <w:rsid w:val="008247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7D5"/>
    <w:rPr>
      <w:sz w:val="20"/>
      <w:szCs w:val="20"/>
    </w:rPr>
  </w:style>
  <w:style w:type="character" w:styleId="FootnoteReference">
    <w:name w:val="footnote reference"/>
    <w:basedOn w:val="DefaultParagraphFont"/>
    <w:uiPriority w:val="99"/>
    <w:semiHidden/>
    <w:unhideWhenUsed/>
    <w:rsid w:val="008247D5"/>
    <w:rPr>
      <w:vertAlign w:val="superscript"/>
    </w:rPr>
  </w:style>
  <w:style w:type="character" w:customStyle="1" w:styleId="Heading4Char">
    <w:name w:val="Heading 4 Char"/>
    <w:basedOn w:val="DefaultParagraphFont"/>
    <w:link w:val="Heading4"/>
    <w:uiPriority w:val="9"/>
    <w:rsid w:val="00920E05"/>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20E05"/>
    <w:rPr>
      <w:color w:val="0563C1" w:themeColor="hyperlink"/>
      <w:u w:val="single"/>
    </w:rPr>
  </w:style>
  <w:style w:type="character" w:styleId="SubtleEmphasis">
    <w:name w:val="Subtle Emphasis"/>
    <w:basedOn w:val="DefaultParagraphFont"/>
    <w:uiPriority w:val="19"/>
    <w:qFormat/>
    <w:rsid w:val="00920E05"/>
    <w:rPr>
      <w:i/>
      <w:iCs/>
      <w:color w:val="404040" w:themeColor="text1" w:themeTint="BF"/>
    </w:rPr>
  </w:style>
  <w:style w:type="character" w:customStyle="1" w:styleId="Heading1Char">
    <w:name w:val="Heading 1 Char"/>
    <w:basedOn w:val="DefaultParagraphFont"/>
    <w:link w:val="Heading1"/>
    <w:uiPriority w:val="9"/>
    <w:rsid w:val="00FF2638"/>
    <w:rPr>
      <w:rFonts w:ascii="Aptos" w:eastAsiaTheme="majorEastAsia" w:hAnsi="Aptos" w:cstheme="majorBidi"/>
      <w:b/>
      <w:bCs/>
      <w:color w:val="232D4B"/>
      <w:sz w:val="32"/>
      <w:szCs w:val="32"/>
    </w:rPr>
  </w:style>
  <w:style w:type="paragraph" w:customStyle="1" w:styleId="Body">
    <w:name w:val="Body"/>
    <w:basedOn w:val="Normal"/>
    <w:qFormat/>
    <w:rsid w:val="005E73CB"/>
    <w:pPr>
      <w:spacing w:after="240"/>
    </w:pPr>
    <w:rPr>
      <w:rFonts w:ascii="Aptos" w:hAnsi="Aptos"/>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2se@virginia.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4728E-BC23-4C37-B847-B794CCE6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3718</Characters>
  <Application>Microsoft Office Word</Application>
  <DocSecurity>8</DocSecurity>
  <Lines>53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Zachary Alexander (ten2se)</dc:creator>
  <cp:keywords/>
  <dc:description/>
  <cp:lastModifiedBy>Muldoon, Amy J (ajm6u)</cp:lastModifiedBy>
  <cp:revision>3</cp:revision>
  <dcterms:created xsi:type="dcterms:W3CDTF">2026-02-25T18:34:00Z</dcterms:created>
  <dcterms:modified xsi:type="dcterms:W3CDTF">2026-02-25T18:35:00Z</dcterms:modified>
</cp:coreProperties>
</file>