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1B30" w14:textId="77777777" w:rsidR="00435964" w:rsidRPr="00FD2D38" w:rsidRDefault="00435964" w:rsidP="00022450">
      <w:pPr>
        <w:spacing w:after="300" w:line="240" w:lineRule="auto"/>
        <w:rPr>
          <w:rFonts w:ascii="Segoe UI Semibold" w:hAnsi="Segoe UI Semibold" w:cs="Segoe UI Semibold"/>
          <w:color w:val="244061"/>
        </w:rPr>
      </w:pPr>
    </w:p>
    <w:p w14:paraId="1C7D54F4" w14:textId="35C9E878" w:rsidR="0071193A" w:rsidRDefault="00A66DF0" w:rsidP="00022450">
      <w:pPr>
        <w:pStyle w:val="Title"/>
        <w:rPr>
          <w:color w:val="244061" w:themeColor="accent1" w:themeShade="80"/>
        </w:rPr>
      </w:pPr>
      <w:r w:rsidRPr="00E00741">
        <w:t xml:space="preserve">Virginia Population </w:t>
      </w:r>
      <w:r w:rsidR="005B7DD7" w:rsidRPr="00E00741">
        <w:t>Projections</w:t>
      </w:r>
      <w:r w:rsidR="0071193A" w:rsidRPr="00E00741">
        <w:t xml:space="preserve"> </w:t>
      </w:r>
      <w:r w:rsidR="00433947" w:rsidRPr="00E00741">
        <w:t>M</w:t>
      </w:r>
      <w:r w:rsidR="005B7DD7" w:rsidRPr="00E00741">
        <w:t>ethodology</w:t>
      </w:r>
    </w:p>
    <w:p w14:paraId="7124B3FC" w14:textId="643DE9EC" w:rsidR="00E84BA3" w:rsidRPr="00E00741" w:rsidRDefault="00A86E08" w:rsidP="00692A8A">
      <w:pPr>
        <w:pStyle w:val="Body"/>
      </w:pPr>
      <w:r w:rsidRPr="00AF7B47">
        <w:t xml:space="preserve">This </w:t>
      </w:r>
      <w:r w:rsidRPr="00E00741">
        <w:t xml:space="preserve">methodology </w:t>
      </w:r>
      <w:r w:rsidRPr="00884166">
        <w:rPr>
          <w:color w:val="000000" w:themeColor="text1"/>
        </w:rPr>
        <w:t>document provides an overview of the steps involved in developing population projections for the Co</w:t>
      </w:r>
      <w:r w:rsidRPr="00E00741">
        <w:t xml:space="preserve">mmonwealth of Virginia, its 133 localities (95 counties and 38 independent cities), and its large towns (population of 5000 or more) for 2030, 2040, and 2050. </w:t>
      </w:r>
      <w:r w:rsidR="00E84BA3" w:rsidRPr="00E00741">
        <w:t>The results consist of projections for the following</w:t>
      </w:r>
      <w:r w:rsidR="008622DD" w:rsidRPr="00E00741">
        <w:t xml:space="preserve"> variables</w:t>
      </w:r>
      <w:r w:rsidR="00E84BA3" w:rsidRPr="00E00741">
        <w:t xml:space="preserve">: </w:t>
      </w:r>
    </w:p>
    <w:p w14:paraId="2819ACDB" w14:textId="740B616F" w:rsidR="00E84BA3" w:rsidRPr="00E00741" w:rsidRDefault="00E84BA3" w:rsidP="00022450">
      <w:pPr>
        <w:pStyle w:val="ListParagraph"/>
        <w:numPr>
          <w:ilvl w:val="0"/>
          <w:numId w:val="26"/>
        </w:numPr>
      </w:pPr>
      <w:r w:rsidRPr="00E00741">
        <w:t>Total population</w:t>
      </w:r>
    </w:p>
    <w:p w14:paraId="7C090D05" w14:textId="406BEC55" w:rsidR="00E84BA3" w:rsidRPr="00E00741" w:rsidRDefault="00E84BA3" w:rsidP="00022450">
      <w:pPr>
        <w:pStyle w:val="ListParagraph"/>
        <w:numPr>
          <w:ilvl w:val="0"/>
          <w:numId w:val="26"/>
        </w:numPr>
      </w:pPr>
      <w:r w:rsidRPr="00E00741">
        <w:t xml:space="preserve">By age </w:t>
      </w:r>
    </w:p>
    <w:p w14:paraId="652E26D5" w14:textId="319B50D9" w:rsidR="00BB3290" w:rsidRPr="00E00741" w:rsidRDefault="00E84BA3" w:rsidP="00022450">
      <w:pPr>
        <w:pStyle w:val="ListParagraph"/>
        <w:numPr>
          <w:ilvl w:val="0"/>
          <w:numId w:val="26"/>
        </w:numPr>
        <w:rPr>
          <w:b/>
          <w:u w:val="single"/>
        </w:rPr>
      </w:pPr>
      <w:r w:rsidRPr="00E00741">
        <w:t>By sex</w:t>
      </w:r>
    </w:p>
    <w:p w14:paraId="3A58636F" w14:textId="79F9A422" w:rsidR="00520681" w:rsidRPr="00692A8A" w:rsidRDefault="002C2B17" w:rsidP="00692A8A">
      <w:pPr>
        <w:pStyle w:val="Body"/>
        <w:rPr>
          <w:b/>
          <w:u w:val="single"/>
        </w:rPr>
      </w:pPr>
      <w:r w:rsidRPr="00E00741">
        <w:t xml:space="preserve">We </w:t>
      </w:r>
      <w:r w:rsidR="00492E1F" w:rsidRPr="00E00741">
        <w:t>apply</w:t>
      </w:r>
      <w:r w:rsidRPr="00E00741">
        <w:t xml:space="preserve"> a combination of exponential growth, linear extrapolation, and Hamilton-Perry method to derive the</w:t>
      </w:r>
      <w:r w:rsidR="008622DD" w:rsidRPr="00E00741">
        <w:t xml:space="preserve">se </w:t>
      </w:r>
      <w:r w:rsidRPr="00E00741">
        <w:t>projections</w:t>
      </w:r>
      <w:r w:rsidR="00492E1F" w:rsidRPr="00E00741">
        <w:t>; th</w:t>
      </w:r>
      <w:r w:rsidR="008734FF">
        <w:t>is</w:t>
      </w:r>
      <w:r w:rsidR="00492E1F" w:rsidRPr="00E00741">
        <w:t xml:space="preserve"> updated methodology also uses the most recently available estimates and births data in addition to Decennial Census Counts, to improve the output data quality.</w:t>
      </w:r>
    </w:p>
    <w:p w14:paraId="15013223" w14:textId="77777777" w:rsidR="001E4E97" w:rsidRPr="005B55A1" w:rsidRDefault="00520681" w:rsidP="005B55A1">
      <w:pPr>
        <w:pStyle w:val="Body"/>
        <w:spacing w:before="240"/>
        <w:rPr>
          <w:b/>
          <w:bCs/>
        </w:rPr>
      </w:pPr>
      <w:r w:rsidRPr="005B55A1">
        <w:rPr>
          <w:b/>
          <w:bCs/>
        </w:rPr>
        <w:t xml:space="preserve">Input data: </w:t>
      </w:r>
    </w:p>
    <w:p w14:paraId="2500B885" w14:textId="358BD65E" w:rsidR="001E4E97" w:rsidRPr="00022450" w:rsidRDefault="001E4E97" w:rsidP="00022450">
      <w:pPr>
        <w:pStyle w:val="ListParagraph"/>
      </w:pPr>
      <w:r w:rsidRPr="00022450">
        <w:t xml:space="preserve">2010 </w:t>
      </w:r>
      <w:r w:rsidR="004B65A6" w:rsidRPr="00022450">
        <w:t>C</w:t>
      </w:r>
      <w:r w:rsidRPr="00022450">
        <w:t xml:space="preserve">ensus </w:t>
      </w:r>
      <w:r w:rsidR="004B65A6" w:rsidRPr="00022450">
        <w:t xml:space="preserve">Count </w:t>
      </w:r>
      <w:r w:rsidRPr="00022450">
        <w:t>total, by age</w:t>
      </w:r>
    </w:p>
    <w:p w14:paraId="0823BA34" w14:textId="747D74FA" w:rsidR="001E4E97" w:rsidRPr="00022450" w:rsidRDefault="001E4E97" w:rsidP="00022450">
      <w:pPr>
        <w:pStyle w:val="ListParagraph"/>
      </w:pPr>
      <w:r w:rsidRPr="00022450">
        <w:t xml:space="preserve">2020 </w:t>
      </w:r>
      <w:r w:rsidR="004B65A6" w:rsidRPr="00022450">
        <w:t xml:space="preserve">Census Count </w:t>
      </w:r>
      <w:r w:rsidRPr="00022450">
        <w:t>total, by age, by sex</w:t>
      </w:r>
    </w:p>
    <w:p w14:paraId="60B48E56" w14:textId="76B89691" w:rsidR="001E4E97" w:rsidRPr="00022450" w:rsidRDefault="001E4E97" w:rsidP="00022450">
      <w:pPr>
        <w:pStyle w:val="ListParagraph"/>
      </w:pPr>
      <w:r w:rsidRPr="00022450">
        <w:t xml:space="preserve">2024 </w:t>
      </w:r>
      <w:r w:rsidR="004B65A6" w:rsidRPr="00022450">
        <w:t>E</w:t>
      </w:r>
      <w:r w:rsidRPr="00022450">
        <w:t>stimate</w:t>
      </w:r>
      <w:r w:rsidR="004B65A6" w:rsidRPr="00022450">
        <w:t>s</w:t>
      </w:r>
      <w:r w:rsidRPr="00022450">
        <w:t xml:space="preserve"> by Weldon Cooper Center total</w:t>
      </w:r>
    </w:p>
    <w:p w14:paraId="5A7BDAF5" w14:textId="18FCBA60" w:rsidR="001E4E97" w:rsidRPr="00022450" w:rsidRDefault="001E4E97" w:rsidP="00022450">
      <w:pPr>
        <w:pStyle w:val="ListParagraph"/>
      </w:pPr>
      <w:bookmarkStart w:id="0" w:name="_Hlk200024664"/>
      <w:r w:rsidRPr="00022450">
        <w:t>2014-2023 annual births data</w:t>
      </w:r>
      <w:bookmarkEnd w:id="0"/>
      <w:r w:rsidR="004C4D9D" w:rsidRPr="00022450">
        <w:t xml:space="preserve"> from Virginia Department Health (geocoded and tabulated by the Weldon Cooper Center)</w:t>
      </w:r>
    </w:p>
    <w:p w14:paraId="41A4C57F" w14:textId="1675131A" w:rsidR="00573481" w:rsidRPr="00520681" w:rsidRDefault="00573481" w:rsidP="002F1CBE">
      <w:pPr>
        <w:spacing w:after="120" w:line="240" w:lineRule="auto"/>
        <w:jc w:val="both"/>
        <w:rPr>
          <w:rFonts w:ascii="Segoe UI" w:hAnsi="Segoe UI" w:cs="Segoe UI"/>
          <w:b/>
          <w:u w:val="single"/>
        </w:rPr>
      </w:pPr>
    </w:p>
    <w:p w14:paraId="271FDD90" w14:textId="246FBC9F" w:rsidR="002D6E4E" w:rsidRPr="004C4D9D" w:rsidRDefault="002D6E4E" w:rsidP="00022450">
      <w:pPr>
        <w:pStyle w:val="Heading1"/>
      </w:pPr>
      <w:r w:rsidRPr="00F218A4">
        <w:t>Total Popul</w:t>
      </w:r>
      <w:r w:rsidR="00AF18DC" w:rsidRPr="00F218A4">
        <w:t>ation Projections</w:t>
      </w:r>
    </w:p>
    <w:p w14:paraId="46721D95" w14:textId="34CD07D9" w:rsidR="008734FF" w:rsidRPr="00022450" w:rsidRDefault="00E72F50" w:rsidP="00022450">
      <w:pPr>
        <w:pStyle w:val="Body"/>
      </w:pPr>
      <w:r w:rsidRPr="00E84BA3">
        <w:t xml:space="preserve">The state </w:t>
      </w:r>
      <w:r w:rsidRPr="00E00741">
        <w:t>level totals are developed first</w:t>
      </w:r>
      <w:r w:rsidR="00E84BA3" w:rsidRPr="00E00741">
        <w:t xml:space="preserve">; </w:t>
      </w:r>
      <w:r w:rsidRPr="00E00741">
        <w:t xml:space="preserve">then </w:t>
      </w:r>
      <w:r w:rsidR="00E84BA3" w:rsidRPr="00E00741">
        <w:t xml:space="preserve">the total population for each locality is calculated individually </w:t>
      </w:r>
      <w:r w:rsidR="00042435" w:rsidRPr="00E00741">
        <w:t>based on the</w:t>
      </w:r>
      <w:r w:rsidR="002259B4" w:rsidRPr="00E00741">
        <w:t>ir</w:t>
      </w:r>
      <w:r w:rsidR="00042435" w:rsidRPr="00E00741">
        <w:t xml:space="preserve"> past trends</w:t>
      </w:r>
      <w:r w:rsidR="00AF7B47" w:rsidRPr="00E00741">
        <w:t xml:space="preserve"> </w:t>
      </w:r>
      <w:r w:rsidRPr="00E00741">
        <w:t xml:space="preserve">and </w:t>
      </w:r>
      <w:r w:rsidR="00E84BA3" w:rsidRPr="00E00741">
        <w:t xml:space="preserve">raked according to the state control </w:t>
      </w:r>
      <w:r w:rsidRPr="00E00741">
        <w:t>totals.</w:t>
      </w:r>
    </w:p>
    <w:p w14:paraId="52C2B437" w14:textId="40A79406" w:rsidR="00E83D8B" w:rsidRPr="00022450" w:rsidRDefault="00B4686F" w:rsidP="000529EA">
      <w:pPr>
        <w:pStyle w:val="Heading2"/>
      </w:pPr>
      <w:r w:rsidRPr="00022450">
        <w:t xml:space="preserve">Approach </w:t>
      </w:r>
      <w:r w:rsidR="00372D17" w:rsidRPr="00022450">
        <w:t xml:space="preserve">for </w:t>
      </w:r>
      <w:r w:rsidR="00DF050C" w:rsidRPr="00022450">
        <w:t xml:space="preserve">projecting </w:t>
      </w:r>
      <w:r w:rsidR="008D532A" w:rsidRPr="00022450">
        <w:t xml:space="preserve">Virginia </w:t>
      </w:r>
      <w:r w:rsidR="00DF050C" w:rsidRPr="004F2935">
        <w:t>S</w:t>
      </w:r>
      <w:r w:rsidR="008D532A" w:rsidRPr="004F2935">
        <w:t>tate</w:t>
      </w:r>
      <w:r w:rsidR="00372D17" w:rsidRPr="00022450">
        <w:t xml:space="preserve"> total population</w:t>
      </w:r>
      <w:r w:rsidRPr="00022450">
        <w:t>:</w:t>
      </w:r>
    </w:p>
    <w:p w14:paraId="16F7CC94" w14:textId="11E822AB" w:rsidR="00DC2899" w:rsidRPr="00022450" w:rsidRDefault="008D532A" w:rsidP="00022450">
      <w:pPr>
        <w:pStyle w:val="ListParagraph"/>
        <w:rPr>
          <w:rFonts w:asciiTheme="majorHAnsi" w:hAnsiTheme="majorHAnsi" w:cstheme="majorHAnsi"/>
        </w:rPr>
      </w:pPr>
      <w:r w:rsidRPr="00022450">
        <w:rPr>
          <w:rFonts w:asciiTheme="majorHAnsi" w:hAnsiTheme="majorHAnsi" w:cstheme="majorHAnsi"/>
        </w:rPr>
        <w:t>For 2030</w:t>
      </w:r>
      <w:r w:rsidR="00FC7482" w:rsidRPr="00022450">
        <w:rPr>
          <w:rFonts w:asciiTheme="majorHAnsi" w:hAnsiTheme="majorHAnsi" w:cstheme="majorHAnsi"/>
        </w:rPr>
        <w:t xml:space="preserve">, </w:t>
      </w:r>
      <w:r w:rsidR="00DC2899" w:rsidRPr="00022450">
        <w:rPr>
          <w:rFonts w:asciiTheme="majorHAnsi" w:hAnsiTheme="majorHAnsi" w:cstheme="majorHAnsi"/>
        </w:rPr>
        <w:t xml:space="preserve">exponential population growth rate using data from 2020 and 2024, is applied with </w:t>
      </w:r>
      <w:r w:rsidR="00DC2899" w:rsidRPr="00022450">
        <w:rPr>
          <w:rFonts w:asciiTheme="majorHAnsi" w:eastAsiaTheme="minorEastAsia" w:hAnsiTheme="majorHAnsi" w:cstheme="majorHAnsi"/>
        </w:rPr>
        <w:t>20</w:t>
      </w:r>
      <w:r w:rsidR="004C6FC0" w:rsidRPr="00022450">
        <w:rPr>
          <w:rFonts w:asciiTheme="majorHAnsi" w:eastAsiaTheme="minorEastAsia" w:hAnsiTheme="majorHAnsi" w:cstheme="majorHAnsi"/>
        </w:rPr>
        <w:t>24</w:t>
      </w:r>
      <w:r w:rsidR="00DC2899" w:rsidRPr="00022450">
        <w:rPr>
          <w:rFonts w:asciiTheme="majorHAnsi" w:eastAsiaTheme="minorEastAsia" w:hAnsiTheme="majorHAnsi" w:cstheme="majorHAnsi"/>
        </w:rPr>
        <w:t xml:space="preserve"> as the launch year, to yield </w:t>
      </w:r>
      <w:r w:rsidR="00DC2899" w:rsidRPr="00022450">
        <w:rPr>
          <w:rFonts w:asciiTheme="majorHAnsi" w:hAnsiTheme="majorHAnsi" w:cstheme="majorHAnsi"/>
        </w:rPr>
        <w:t xml:space="preserve">the final projected </w:t>
      </w:r>
      <m:oMath>
        <m:sSub>
          <m:sSubPr>
            <m:ctrlPr>
              <w:rPr>
                <w:rFonts w:ascii="Cambria Math" w:eastAsiaTheme="minorEastAsia" w:hAnsi="Cambria Math" w:cstheme="maj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</w:rPr>
              <m:t>StatePopulation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HAnsi"/>
              </w:rPr>
              <m:t>2030</m:t>
            </m:r>
          </m:sub>
        </m:sSub>
      </m:oMath>
    </w:p>
    <w:p w14:paraId="09E672B9" w14:textId="2F767354" w:rsidR="00FC7482" w:rsidRPr="00022450" w:rsidRDefault="00CA106A" w:rsidP="00022450">
      <w:pPr>
        <w:pStyle w:val="ListParagraph"/>
        <w:rPr>
          <w:rFonts w:asciiTheme="majorHAnsi" w:hAnsiTheme="majorHAnsi" w:cstheme="majorHAnsi"/>
        </w:rPr>
      </w:pPr>
      <w:r w:rsidRPr="00022450">
        <w:rPr>
          <w:rFonts w:asciiTheme="majorHAnsi" w:hAnsiTheme="majorHAnsi" w:cstheme="majorHAnsi"/>
        </w:rPr>
        <w:t xml:space="preserve">For 2040, </w:t>
      </w:r>
      <w:r w:rsidR="006E2D64" w:rsidRPr="00022450">
        <w:rPr>
          <w:rFonts w:asciiTheme="majorHAnsi" w:hAnsiTheme="majorHAnsi" w:cstheme="majorHAnsi"/>
        </w:rPr>
        <w:t xml:space="preserve">the </w:t>
      </w:r>
      <w:r w:rsidR="00636BF1" w:rsidRPr="00022450">
        <w:rPr>
          <w:rFonts w:asciiTheme="majorHAnsi" w:hAnsiTheme="majorHAnsi" w:cstheme="majorHAnsi"/>
        </w:rPr>
        <w:t>annualized growth between 2010 and 2024 is calculated and linear extrapolation is applied to the 20</w:t>
      </w:r>
      <w:r w:rsidR="009E1888" w:rsidRPr="00022450">
        <w:rPr>
          <w:rFonts w:asciiTheme="majorHAnsi" w:hAnsiTheme="majorHAnsi" w:cstheme="majorHAnsi"/>
        </w:rPr>
        <w:t>3</w:t>
      </w:r>
      <w:r w:rsidR="00636BF1" w:rsidRPr="00022450">
        <w:rPr>
          <w:rFonts w:asciiTheme="majorHAnsi" w:hAnsiTheme="majorHAnsi" w:cstheme="majorHAnsi"/>
        </w:rPr>
        <w:t xml:space="preserve">0 projections to construct the </w:t>
      </w:r>
      <w:r w:rsidR="00E80D4E" w:rsidRPr="00022450">
        <w:rPr>
          <w:rFonts w:asciiTheme="majorHAnsi" w:hAnsiTheme="majorHAnsi" w:cstheme="majorHAnsi"/>
        </w:rPr>
        <w:t xml:space="preserve">final projected </w:t>
      </w:r>
      <m:oMath>
        <m:sSub>
          <m:sSubPr>
            <m:ctrlPr>
              <w:rPr>
                <w:rFonts w:ascii="Cambria Math" w:eastAsiaTheme="minorEastAsia" w:hAnsi="Cambria Math" w:cstheme="maj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</w:rPr>
              <m:t>StatePopulation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HAnsi"/>
              </w:rPr>
              <m:t>2040</m:t>
            </m:r>
          </m:sub>
        </m:sSub>
      </m:oMath>
      <w:r w:rsidR="00E80D4E" w:rsidRPr="00022450">
        <w:rPr>
          <w:rFonts w:asciiTheme="majorHAnsi" w:eastAsiaTheme="minorEastAsia" w:hAnsiTheme="majorHAnsi" w:cstheme="majorHAnsi"/>
        </w:rPr>
        <w:t>.</w:t>
      </w:r>
    </w:p>
    <w:p w14:paraId="68CBE85D" w14:textId="54229DFF" w:rsidR="00CA106A" w:rsidRPr="00022450" w:rsidRDefault="00FC7482" w:rsidP="00022450">
      <w:pPr>
        <w:pStyle w:val="ListParagraph"/>
        <w:rPr>
          <w:rFonts w:asciiTheme="majorHAnsi" w:hAnsiTheme="majorHAnsi" w:cstheme="majorHAnsi"/>
        </w:rPr>
      </w:pPr>
      <w:r w:rsidRPr="00022450">
        <w:rPr>
          <w:rFonts w:asciiTheme="majorHAnsi" w:hAnsiTheme="majorHAnsi" w:cstheme="majorHAnsi"/>
        </w:rPr>
        <w:lastRenderedPageBreak/>
        <w:t>For 2050, the annualized growth between 2000 and 202</w:t>
      </w:r>
      <w:r w:rsidR="00636BF1" w:rsidRPr="00022450">
        <w:rPr>
          <w:rFonts w:asciiTheme="majorHAnsi" w:hAnsiTheme="majorHAnsi" w:cstheme="majorHAnsi"/>
        </w:rPr>
        <w:t>4</w:t>
      </w:r>
      <w:r w:rsidRPr="00022450">
        <w:rPr>
          <w:rFonts w:asciiTheme="majorHAnsi" w:hAnsiTheme="majorHAnsi" w:cstheme="majorHAnsi"/>
        </w:rPr>
        <w:t xml:space="preserve"> is calculated and linear extrapolation is applied </w:t>
      </w:r>
      <w:r w:rsidR="00200CD9" w:rsidRPr="00022450">
        <w:rPr>
          <w:rFonts w:asciiTheme="majorHAnsi" w:hAnsiTheme="majorHAnsi" w:cstheme="majorHAnsi"/>
        </w:rPr>
        <w:t xml:space="preserve">to the 2040 projections </w:t>
      </w:r>
      <w:r w:rsidRPr="00022450">
        <w:rPr>
          <w:rFonts w:asciiTheme="majorHAnsi" w:hAnsiTheme="majorHAnsi" w:cstheme="majorHAnsi"/>
        </w:rPr>
        <w:t xml:space="preserve">to construct the final projected </w:t>
      </w:r>
      <m:oMath>
        <m:sSub>
          <m:sSubPr>
            <m:ctrlPr>
              <w:rPr>
                <w:rFonts w:ascii="Cambria Math" w:eastAsiaTheme="minorEastAsia" w:hAnsi="Cambria Math" w:cstheme="maj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</w:rPr>
              <m:t>StatePopulation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HAnsi"/>
              </w:rPr>
              <m:t>2050</m:t>
            </m:r>
          </m:sub>
        </m:sSub>
      </m:oMath>
      <w:r w:rsidRPr="00022450">
        <w:rPr>
          <w:rFonts w:asciiTheme="majorHAnsi" w:eastAsiaTheme="minorEastAsia" w:hAnsiTheme="majorHAnsi" w:cstheme="majorHAnsi"/>
        </w:rPr>
        <w:t>.</w:t>
      </w:r>
    </w:p>
    <w:p w14:paraId="5BD9ED79" w14:textId="539571D3" w:rsidR="000F0D1A" w:rsidRPr="00E00741" w:rsidRDefault="009E1888" w:rsidP="00607C53">
      <w:pPr>
        <w:pStyle w:val="ListParagraph"/>
        <w:numPr>
          <w:ilvl w:val="0"/>
          <w:numId w:val="10"/>
        </w:numPr>
      </w:pPr>
      <w:r>
        <w:t>For mid-decade timepoints, p</w:t>
      </w:r>
      <w:r w:rsidR="000F0D1A" w:rsidRPr="00E00741">
        <w:t>rojections for 2035 and 2045 are interpolated, and those for 2055 are extrapolated from the end-of-decade projected populations.</w:t>
      </w:r>
    </w:p>
    <w:p w14:paraId="527814F2" w14:textId="77777777" w:rsidR="000F0D1A" w:rsidRPr="00E00741" w:rsidRDefault="000F0D1A" w:rsidP="00607C53">
      <w:pPr>
        <w:pStyle w:val="Heading2"/>
      </w:pPr>
      <w:r w:rsidRPr="00E00741">
        <w:t xml:space="preserve">Approach for projecting Virginia </w:t>
      </w:r>
      <w:r w:rsidRPr="004F2935">
        <w:t>Locality</w:t>
      </w:r>
      <w:r w:rsidRPr="00E00741">
        <w:t xml:space="preserve"> total population:</w:t>
      </w:r>
    </w:p>
    <w:p w14:paraId="63C86785" w14:textId="1A843B5A" w:rsidR="000F0D1A" w:rsidRPr="00E00741" w:rsidRDefault="000F0D1A" w:rsidP="00022450">
      <w:pPr>
        <w:pStyle w:val="ListParagraph"/>
        <w:numPr>
          <w:ilvl w:val="0"/>
          <w:numId w:val="22"/>
        </w:numPr>
        <w:rPr>
          <w:rFonts w:eastAsiaTheme="minorEastAsia"/>
        </w:rPr>
      </w:pPr>
      <w:r w:rsidRPr="00E00741">
        <w:t xml:space="preserve">For 2030, the </w:t>
      </w:r>
      <w:r w:rsidR="006F62D2" w:rsidRPr="00E00741">
        <w:t>localities are</w:t>
      </w:r>
      <w:r w:rsidR="0007323A" w:rsidRPr="00E00741">
        <w:t xml:space="preserve"> initially</w:t>
      </w:r>
      <w:r w:rsidR="006F62D2" w:rsidRPr="00E00741">
        <w:t xml:space="preserve"> </w:t>
      </w:r>
      <w:r w:rsidR="00200CD9" w:rsidRPr="00E00741">
        <w:t>projected</w:t>
      </w:r>
      <w:r w:rsidR="0007323A" w:rsidRPr="00E00741">
        <w:t xml:space="preserve"> to grow </w:t>
      </w:r>
      <w:r w:rsidR="000962C5" w:rsidRPr="00E00741">
        <w:t>as per</w:t>
      </w:r>
      <w:r w:rsidR="0007323A" w:rsidRPr="00E00741">
        <w:t xml:space="preserve"> the</w:t>
      </w:r>
      <w:r w:rsidR="00F34BFD" w:rsidRPr="00E00741">
        <w:t>ir individual</w:t>
      </w:r>
      <w:r w:rsidR="0007323A" w:rsidRPr="00E00741">
        <w:t xml:space="preserve"> </w:t>
      </w:r>
      <w:r w:rsidR="000962C5" w:rsidRPr="00E00741">
        <w:t xml:space="preserve">exponential growth rates </w:t>
      </w:r>
      <w:r w:rsidR="0007323A" w:rsidRPr="00E00741">
        <w:t>between 2010 and 202</w:t>
      </w:r>
      <w:r w:rsidR="000962C5" w:rsidRPr="00E00741">
        <w:t>4</w:t>
      </w:r>
      <w:r w:rsidR="0007323A" w:rsidRPr="00E00741">
        <w:t xml:space="preserve">. </w:t>
      </w:r>
      <w:r w:rsidRPr="00E00741">
        <w:rPr>
          <w:rFonts w:eastAsiaTheme="minorEastAsia"/>
        </w:rPr>
        <w:t xml:space="preserve">The final locality level population projection for 2030 is set by redistributing the state control total </w:t>
      </w:r>
      <w:r w:rsidR="0007323A" w:rsidRPr="00E00741">
        <w:rPr>
          <w:rFonts w:eastAsiaTheme="minorEastAsia"/>
        </w:rPr>
        <w:t xml:space="preserve">to yield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LocalityPopulation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2030</m:t>
            </m:r>
          </m:sub>
        </m:sSub>
      </m:oMath>
      <w:r w:rsidR="0007323A" w:rsidRPr="00E00741">
        <w:rPr>
          <w:rFonts w:eastAsiaTheme="minorEastAsia"/>
        </w:rPr>
        <w:t>.</w:t>
      </w:r>
    </w:p>
    <w:p w14:paraId="0572419B" w14:textId="012530B8" w:rsidR="00E82CDF" w:rsidRPr="00E00741" w:rsidRDefault="00F34BFD" w:rsidP="00022450">
      <w:pPr>
        <w:pStyle w:val="ListParagraph"/>
        <w:numPr>
          <w:ilvl w:val="0"/>
          <w:numId w:val="22"/>
        </w:numPr>
        <w:rPr>
          <w:rFonts w:eastAsiaTheme="minorEastAsia"/>
        </w:rPr>
      </w:pPr>
      <w:r w:rsidRPr="00E00741">
        <w:t>For 2040</w:t>
      </w:r>
      <w:r w:rsidR="00810A8F" w:rsidRPr="00E00741">
        <w:t xml:space="preserve">, the localities are initially projected to grow </w:t>
      </w:r>
      <w:r w:rsidR="00E82CDF" w:rsidRPr="00E00741">
        <w:t xml:space="preserve">by their individual absolute population change between 2010 and 2020. </w:t>
      </w:r>
      <w:r w:rsidR="00E82CDF" w:rsidRPr="00E00741">
        <w:rPr>
          <w:rFonts w:eastAsiaTheme="minorEastAsia"/>
        </w:rPr>
        <w:t xml:space="preserve">The final locality level population projection for 2040 is set by redistributing the state control total to yield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LocalityPopulation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2040</m:t>
            </m:r>
          </m:sub>
        </m:sSub>
      </m:oMath>
      <w:r w:rsidR="00E82CDF" w:rsidRPr="00E00741">
        <w:rPr>
          <w:rFonts w:eastAsiaTheme="minorEastAsia"/>
        </w:rPr>
        <w:t>.</w:t>
      </w:r>
    </w:p>
    <w:p w14:paraId="1A3850D4" w14:textId="3BF42195" w:rsidR="002B72FC" w:rsidRPr="00E00741" w:rsidRDefault="00014F1D" w:rsidP="00022450">
      <w:pPr>
        <w:pStyle w:val="ListParagraph"/>
        <w:numPr>
          <w:ilvl w:val="0"/>
          <w:numId w:val="22"/>
        </w:numPr>
        <w:rPr>
          <w:rFonts w:eastAsiaTheme="minorEastAsia"/>
        </w:rPr>
      </w:pPr>
      <w:r w:rsidRPr="00E00741">
        <w:t xml:space="preserve">For </w:t>
      </w:r>
      <w:r w:rsidR="00D65534" w:rsidRPr="00E00741">
        <w:t>2050</w:t>
      </w:r>
      <w:r w:rsidR="00F34BFD" w:rsidRPr="00E00741">
        <w:t xml:space="preserve">, the localities are initially </w:t>
      </w:r>
      <w:r w:rsidR="00200CD9" w:rsidRPr="00E00741">
        <w:t>projected</w:t>
      </w:r>
      <w:r w:rsidR="00F34BFD" w:rsidRPr="00E00741">
        <w:t xml:space="preserve"> to grow by their individual annualized growth between 2000 and 2020</w:t>
      </w:r>
      <w:r w:rsidR="002B72FC" w:rsidRPr="00E00741">
        <w:t xml:space="preserve">. </w:t>
      </w:r>
      <w:r w:rsidR="002B72FC" w:rsidRPr="00E00741">
        <w:rPr>
          <w:rFonts w:eastAsiaTheme="minorEastAsia"/>
        </w:rPr>
        <w:t>The final locality level population projection</w:t>
      </w:r>
      <w:r w:rsidR="00D65534" w:rsidRPr="00E00741">
        <w:rPr>
          <w:rFonts w:eastAsiaTheme="minorEastAsia"/>
        </w:rPr>
        <w:t>s</w:t>
      </w:r>
      <w:r w:rsidR="00E82CDF" w:rsidRPr="00E00741">
        <w:rPr>
          <w:rFonts w:eastAsiaTheme="minorEastAsia"/>
        </w:rPr>
        <w:t xml:space="preserve"> for 2050</w:t>
      </w:r>
      <w:r w:rsidR="002B72FC" w:rsidRPr="00E00741">
        <w:rPr>
          <w:rFonts w:eastAsiaTheme="minorEastAsia"/>
        </w:rPr>
        <w:t xml:space="preserve"> </w:t>
      </w:r>
      <w:proofErr w:type="gramStart"/>
      <w:r w:rsidR="002B72FC" w:rsidRPr="00E00741">
        <w:rPr>
          <w:rFonts w:eastAsiaTheme="minorEastAsia"/>
        </w:rPr>
        <w:t>is</w:t>
      </w:r>
      <w:proofErr w:type="gramEnd"/>
      <w:r w:rsidR="002B72FC" w:rsidRPr="00E00741">
        <w:rPr>
          <w:rFonts w:eastAsiaTheme="minorEastAsia"/>
        </w:rPr>
        <w:t xml:space="preserve"> set by redistributing the</w:t>
      </w:r>
      <w:r w:rsidR="00F63199" w:rsidRPr="00E00741">
        <w:rPr>
          <w:rFonts w:eastAsiaTheme="minorEastAsia"/>
        </w:rPr>
        <w:t xml:space="preserve"> </w:t>
      </w:r>
      <w:r w:rsidR="002B72FC" w:rsidRPr="00E00741">
        <w:rPr>
          <w:rFonts w:eastAsiaTheme="minorEastAsia"/>
        </w:rPr>
        <w:t>state control total</w:t>
      </w:r>
      <w:r w:rsidR="00E82CDF" w:rsidRPr="00E00741">
        <w:rPr>
          <w:rFonts w:eastAsiaTheme="minorEastAsia"/>
        </w:rPr>
        <w:t xml:space="preserve"> to yield</w:t>
      </w:r>
      <w:r w:rsidR="00D65534" w:rsidRPr="00E00741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LocalityPopulation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2050</m:t>
            </m:r>
          </m:sub>
        </m:sSub>
      </m:oMath>
      <w:r w:rsidR="00D65534" w:rsidRPr="00E00741">
        <w:rPr>
          <w:rFonts w:eastAsiaTheme="minorEastAsia"/>
        </w:rPr>
        <w:t>.</w:t>
      </w:r>
    </w:p>
    <w:p w14:paraId="717D0BFB" w14:textId="102635F5" w:rsidR="002B72FC" w:rsidRPr="00E00741" w:rsidRDefault="00A86E08" w:rsidP="00607C53">
      <w:pPr>
        <w:pStyle w:val="ListParagraph"/>
        <w:numPr>
          <w:ilvl w:val="0"/>
          <w:numId w:val="22"/>
        </w:numPr>
      </w:pPr>
      <w:r w:rsidRPr="00E00741">
        <w:t xml:space="preserve">For mid-decade </w:t>
      </w:r>
      <w:proofErr w:type="gramStart"/>
      <w:r w:rsidRPr="00E00741">
        <w:t>time points</w:t>
      </w:r>
      <w:proofErr w:type="gramEnd"/>
      <w:r w:rsidRPr="00E00741">
        <w:t>, p</w:t>
      </w:r>
      <w:r w:rsidR="002B72FC" w:rsidRPr="00E00741">
        <w:t>rojections for 2035 and 2045 are interpolated, and those for 2055 are extrapolated from the end-of-decade projected populations.</w:t>
      </w:r>
    </w:p>
    <w:p w14:paraId="65418BC0" w14:textId="77777777" w:rsidR="000F0D1A" w:rsidRPr="00E00741" w:rsidRDefault="000F0D1A" w:rsidP="00607C53">
      <w:pPr>
        <w:pStyle w:val="Heading2"/>
      </w:pPr>
      <w:r w:rsidRPr="00E00741">
        <w:t xml:space="preserve">Approach for projecting Virginia </w:t>
      </w:r>
      <w:r w:rsidRPr="005A4458">
        <w:t>Town</w:t>
      </w:r>
      <w:r w:rsidRPr="00E00741">
        <w:t xml:space="preserve"> total population:</w:t>
      </w:r>
    </w:p>
    <w:p w14:paraId="1E9B306D" w14:textId="089DF2BC" w:rsidR="009D3A0B" w:rsidRPr="00E00741" w:rsidRDefault="00FC0667" w:rsidP="00022450">
      <w:pPr>
        <w:pStyle w:val="ListParagraph"/>
        <w:numPr>
          <w:ilvl w:val="0"/>
          <w:numId w:val="23"/>
        </w:numPr>
      </w:pPr>
      <w:r w:rsidRPr="00E00741">
        <w:t xml:space="preserve">Projections are constructed for </w:t>
      </w:r>
      <w:r w:rsidR="009D3A0B" w:rsidRPr="00E00741">
        <w:t xml:space="preserve">Virginia towns with a population over 5000 as per the </w:t>
      </w:r>
      <w:r w:rsidRPr="00E00741">
        <w:t xml:space="preserve">latest 2020 Census </w:t>
      </w:r>
      <w:r w:rsidR="009E1888">
        <w:t>C</w:t>
      </w:r>
      <w:r w:rsidRPr="00E00741">
        <w:t>ount.</w:t>
      </w:r>
    </w:p>
    <w:p w14:paraId="429D79BF" w14:textId="2167E4CA" w:rsidR="00FC0667" w:rsidRPr="00E00741" w:rsidRDefault="00FC0667" w:rsidP="00022450">
      <w:pPr>
        <w:pStyle w:val="ListParagraph"/>
        <w:numPr>
          <w:ilvl w:val="0"/>
          <w:numId w:val="23"/>
        </w:numPr>
      </w:pPr>
      <w:r w:rsidRPr="00E00741">
        <w:t xml:space="preserve">The </w:t>
      </w:r>
      <w:r w:rsidR="001E118A" w:rsidRPr="00E00741">
        <w:t xml:space="preserve">ratios </w:t>
      </w:r>
      <w:r w:rsidRPr="00E00741">
        <w:t xml:space="preserve">of town </w:t>
      </w:r>
      <w:r w:rsidR="00F63199" w:rsidRPr="00E00741">
        <w:t xml:space="preserve">population </w:t>
      </w:r>
      <w:r w:rsidRPr="00E00741">
        <w:t>to parent</w:t>
      </w:r>
      <w:r w:rsidR="00F63199" w:rsidRPr="00E00741">
        <w:t>-</w:t>
      </w:r>
      <w:r w:rsidRPr="00E00741">
        <w:t xml:space="preserve">county population </w:t>
      </w:r>
      <w:proofErr w:type="gramStart"/>
      <w:r w:rsidRPr="00E00741">
        <w:t>is</w:t>
      </w:r>
      <w:proofErr w:type="gramEnd"/>
      <w:r w:rsidRPr="00E00741">
        <w:t xml:space="preserve"> used to</w:t>
      </w:r>
      <w:r w:rsidR="001E118A" w:rsidRPr="00E00741">
        <w:t xml:space="preserve"> create</w:t>
      </w:r>
      <w:r w:rsidR="00F63199" w:rsidRPr="00E00741">
        <w:t xml:space="preserve"> their respective</w:t>
      </w:r>
      <w:r w:rsidR="001E118A" w:rsidRPr="00E00741">
        <w:t xml:space="preserve"> shares and</w:t>
      </w:r>
      <w:r w:rsidRPr="00E00741">
        <w:t xml:space="preserve"> project the 2030, 2040, and 2050</w:t>
      </w:r>
      <w:r w:rsidR="009E1888">
        <w:t xml:space="preserve"> totals</w:t>
      </w:r>
      <w:r w:rsidRPr="00E00741">
        <w:t xml:space="preserve"> for large towns in Virginia.</w:t>
      </w:r>
    </w:p>
    <w:p w14:paraId="6097D6C1" w14:textId="77777777" w:rsidR="008734FF" w:rsidRDefault="008734FF" w:rsidP="002D6E4E">
      <w:pPr>
        <w:spacing w:after="120" w:line="360" w:lineRule="auto"/>
        <w:jc w:val="both"/>
        <w:rPr>
          <w:rFonts w:ascii="Segoe UI" w:hAnsi="Segoe UI" w:cs="Segoe UI"/>
          <w:b/>
          <w:color w:val="244061"/>
          <w:sz w:val="24"/>
          <w:u w:val="single"/>
        </w:rPr>
      </w:pPr>
    </w:p>
    <w:p w14:paraId="72114864" w14:textId="77777777" w:rsidR="002B23E5" w:rsidRDefault="002B23E5">
      <w:pPr>
        <w:rPr>
          <w:rFonts w:asciiTheme="majorHAnsi" w:eastAsiaTheme="majorEastAsia" w:hAnsiTheme="majorHAnsi" w:cstheme="majorBidi"/>
          <w:b/>
          <w:color w:val="232D4B"/>
          <w:sz w:val="32"/>
          <w:szCs w:val="32"/>
        </w:rPr>
      </w:pPr>
      <w:r>
        <w:br w:type="page"/>
      </w:r>
    </w:p>
    <w:p w14:paraId="6EDB69AC" w14:textId="4886AFC1" w:rsidR="002D6E4E" w:rsidRPr="002425C9" w:rsidRDefault="002D6E4E" w:rsidP="00607C53">
      <w:pPr>
        <w:pStyle w:val="Heading1"/>
      </w:pPr>
      <w:r w:rsidRPr="002425C9">
        <w:lastRenderedPageBreak/>
        <w:t xml:space="preserve">Age and Sex </w:t>
      </w:r>
      <w:r w:rsidRPr="00E00741">
        <w:t>Popul</w:t>
      </w:r>
      <w:r w:rsidR="00AF18DC" w:rsidRPr="00E00741">
        <w:t>ation</w:t>
      </w:r>
      <w:r w:rsidR="00AF18DC">
        <w:t xml:space="preserve"> Projections </w:t>
      </w:r>
    </w:p>
    <w:p w14:paraId="5E114545" w14:textId="2267EA25" w:rsidR="008622DD" w:rsidRPr="00607C53" w:rsidRDefault="002D6E4E" w:rsidP="00607C53">
      <w:pPr>
        <w:pStyle w:val="Body"/>
      </w:pPr>
      <w:r w:rsidRPr="008622DD">
        <w:t>The</w:t>
      </w:r>
      <w:r w:rsidR="005E19D6" w:rsidRPr="008622DD">
        <w:t xml:space="preserve"> p</w:t>
      </w:r>
      <w:r w:rsidR="008D372F" w:rsidRPr="008622DD">
        <w:t xml:space="preserve">rojections </w:t>
      </w:r>
      <w:r w:rsidRPr="008622DD">
        <w:t xml:space="preserve">by demographic </w:t>
      </w:r>
      <w:r w:rsidR="00AF18DC" w:rsidRPr="00E00741">
        <w:t>characteristics, such as by age</w:t>
      </w:r>
      <w:r w:rsidRPr="00E00741">
        <w:t xml:space="preserve"> and sex</w:t>
      </w:r>
      <w:r w:rsidR="005E19D6" w:rsidRPr="00E00741">
        <w:t xml:space="preserve">, </w:t>
      </w:r>
      <w:r w:rsidR="00E2121A">
        <w:t>a</w:t>
      </w:r>
      <w:r w:rsidRPr="00E00741">
        <w:t xml:space="preserve">re </w:t>
      </w:r>
      <w:r w:rsidR="00CC2A34" w:rsidRPr="00E00741">
        <w:t xml:space="preserve">developed </w:t>
      </w:r>
      <w:r w:rsidR="00AF18DC" w:rsidRPr="00E00741">
        <w:t>by five-year age</w:t>
      </w:r>
      <w:r w:rsidR="005E19D6" w:rsidRPr="00E00741">
        <w:t xml:space="preserve"> cohorts (18 groups at 5-year intervals: 0-4, 5-9, 10-14 … 80-84, and 85+). </w:t>
      </w:r>
    </w:p>
    <w:p w14:paraId="1F3350C9" w14:textId="780AE0CE" w:rsidR="007D131D" w:rsidRPr="00E00741" w:rsidRDefault="007D131D" w:rsidP="00607C53">
      <w:pPr>
        <w:pStyle w:val="Heading2"/>
      </w:pPr>
      <w:r w:rsidRPr="00E00741">
        <w:t>Approach for projecting Virginia State and Locality population</w:t>
      </w:r>
      <w:r w:rsidR="00335F4E" w:rsidRPr="00E00741">
        <w:t xml:space="preserve"> by </w:t>
      </w:r>
      <w:r w:rsidR="00335F4E" w:rsidRPr="00367D1B">
        <w:t>A</w:t>
      </w:r>
      <w:r w:rsidRPr="00367D1B">
        <w:t>ge</w:t>
      </w:r>
      <w:r w:rsidRPr="00E00741">
        <w:t>:</w:t>
      </w:r>
    </w:p>
    <w:p w14:paraId="1BD0787A" w14:textId="6C94AEE6" w:rsidR="00A86E08" w:rsidRPr="00E00741" w:rsidRDefault="00CC2A34" w:rsidP="00607C53">
      <w:pPr>
        <w:pStyle w:val="Body"/>
      </w:pPr>
      <w:r w:rsidRPr="00E00741">
        <w:t xml:space="preserve">Benchmarked on the </w:t>
      </w:r>
      <w:r w:rsidR="00A86E08" w:rsidRPr="00E00741">
        <w:t xml:space="preserve">2020 Census data, </w:t>
      </w:r>
      <w:r w:rsidR="00120692" w:rsidRPr="00E00741">
        <w:t>age distribution for each locality is constructed using the Hamilton-Perry cohort-component method.</w:t>
      </w:r>
    </w:p>
    <w:p w14:paraId="569F8ED6" w14:textId="3F2DAA4B" w:rsidR="00120692" w:rsidRPr="00E00741" w:rsidRDefault="00120692" w:rsidP="0086651F">
      <w:pPr>
        <w:pStyle w:val="ListParagraph"/>
      </w:pPr>
      <w:r w:rsidRPr="00E00741">
        <w:t xml:space="preserve">Generating CPR (child population ratio) and CCR (cohort change ratio) for every age cohort within each locality, using data from </w:t>
      </w:r>
      <w:r w:rsidR="006D5FC2" w:rsidRPr="00E00741">
        <w:t>2010</w:t>
      </w:r>
      <w:r w:rsidR="00EE09C6" w:rsidRPr="00E00741">
        <w:t>,</w:t>
      </w:r>
      <w:r w:rsidR="006D5FC2" w:rsidRPr="00E00741">
        <w:t xml:space="preserve"> and 202</w:t>
      </w:r>
      <w:r w:rsidRPr="00E00741">
        <w:t>0.</w:t>
      </w:r>
    </w:p>
    <w:p w14:paraId="1C3485B3" w14:textId="6C6645D2" w:rsidR="006D5FC2" w:rsidRPr="00DA157E" w:rsidRDefault="006D5FC2" w:rsidP="0086651F">
      <w:pPr>
        <w:pStyle w:val="ListParagraph"/>
        <w:numPr>
          <w:ilvl w:val="0"/>
          <w:numId w:val="0"/>
        </w:numPr>
        <w:ind w:left="720"/>
      </w:pPr>
      <w:r w:rsidRPr="00DA157E">
        <w:t>For cohorts 0-4 and 5-9, CPRs capture the birth rates in the prior decades. We divide the child population by the appropriate population of child-bearing age to generate the CPRs.</w:t>
      </w:r>
    </w:p>
    <w:p w14:paraId="44E7D065" w14:textId="5F60C186" w:rsidR="006D5FC2" w:rsidRPr="00E00741" w:rsidRDefault="00000000" w:rsidP="00E311A3">
      <w:pPr>
        <w:pStyle w:val="ListParagraph"/>
        <w:numPr>
          <w:ilvl w:val="0"/>
          <w:numId w:val="0"/>
        </w:numPr>
        <w:spacing w:after="240"/>
        <w:ind w:left="720"/>
        <w:rPr>
          <w:rFonts w:ascii="Cambria" w:eastAsiaTheme="minorEastAsia" w:hAnsi="Cambr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CPR</m:t>
              </m:r>
            </m:e>
            <m:sub>
              <m:r>
                <w:rPr>
                  <w:rFonts w:ascii="Cambria Math" w:hAnsi="Cambria Math"/>
                </w:rPr>
                <m:t>0-4</m:t>
              </m:r>
            </m:sub>
            <m:sup>
              <m:r>
                <w:rPr>
                  <w:rFonts w:ascii="Cambria Math" w:hAnsi="Cambria Math"/>
                </w:rPr>
                <m:t>2010-2020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LocalityPopulation</m:t>
                  </m:r>
                </m:e>
                <m:sub>
                  <m:r>
                    <w:rPr>
                      <w:rFonts w:ascii="Cambria Math" w:hAnsi="Cambria Math"/>
                    </w:rPr>
                    <m:t>0-4</m:t>
                  </m:r>
                </m:sub>
                <m:sup>
                  <m:r>
                    <w:rPr>
                      <w:rFonts w:ascii="Cambria Math" w:hAnsi="Cambria Math"/>
                    </w:rPr>
                    <m:t>2020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LocalityPopulation</m:t>
                  </m:r>
                </m:e>
                <m:sub>
                  <m:r>
                    <w:rPr>
                      <w:rFonts w:ascii="Cambria Math" w:hAnsi="Cambria Math"/>
                    </w:rPr>
                    <m:t>15-44</m:t>
                  </m:r>
                </m:sub>
                <m:sup>
                  <m:r>
                    <w:rPr>
                      <w:rFonts w:ascii="Cambria Math" w:hAnsi="Cambria Math"/>
                    </w:rPr>
                    <m:t>2020</m:t>
                  </m:r>
                </m:sup>
              </m:sSubSup>
            </m:den>
          </m:f>
          <m:r>
            <w:rPr>
              <w:rFonts w:ascii="Cambria Math" w:hAnsi="Cambria Math"/>
            </w:rPr>
            <m:t xml:space="preserve">       &amp;    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CPR</m:t>
              </m:r>
            </m:e>
            <m:sub>
              <m:r>
                <w:rPr>
                  <w:rFonts w:ascii="Cambria Math" w:hAnsi="Cambria Math"/>
                </w:rPr>
                <m:t>5-9</m:t>
              </m:r>
            </m:sub>
            <m:sup>
              <m:r>
                <w:rPr>
                  <w:rFonts w:ascii="Cambria Math" w:hAnsi="Cambria Math"/>
                </w:rPr>
                <m:t>2010-2020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LocalityPopulation</m:t>
                  </m:r>
                </m:e>
                <m:sub>
                  <m:r>
                    <w:rPr>
                      <w:rFonts w:ascii="Cambria Math" w:hAnsi="Cambria Math"/>
                    </w:rPr>
                    <m:t>5-9</m:t>
                  </m:r>
                </m:sub>
                <m:sup>
                  <m:r>
                    <w:rPr>
                      <w:rFonts w:ascii="Cambria Math" w:hAnsi="Cambria Math"/>
                    </w:rPr>
                    <m:t>2020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LocalityPopulation</m:t>
                  </m:r>
                </m:e>
                <m:sub>
                  <m:r>
                    <w:rPr>
                      <w:rFonts w:ascii="Cambria Math" w:hAnsi="Cambria Math"/>
                    </w:rPr>
                    <m:t>20-49</m:t>
                  </m:r>
                </m:sub>
                <m:sup>
                  <m:r>
                    <w:rPr>
                      <w:rFonts w:ascii="Cambria Math" w:hAnsi="Cambria Math"/>
                    </w:rPr>
                    <m:t>2020</m:t>
                  </m:r>
                </m:sup>
              </m:sSubSup>
            </m:den>
          </m:f>
          <m:r>
            <w:rPr>
              <w:rFonts w:ascii="Cambria Math" w:hAnsi="Cambria Math"/>
            </w:rPr>
            <m:t xml:space="preserve">   </m:t>
          </m:r>
        </m:oMath>
      </m:oMathPara>
    </w:p>
    <w:p w14:paraId="5C51BFB1" w14:textId="77777777" w:rsidR="005750C2" w:rsidRPr="002B23E5" w:rsidRDefault="006D5FC2" w:rsidP="0086651F">
      <w:pPr>
        <w:pStyle w:val="ListParagraph"/>
        <w:numPr>
          <w:ilvl w:val="0"/>
          <w:numId w:val="0"/>
        </w:numPr>
        <w:ind w:left="720"/>
      </w:pPr>
      <w:r w:rsidRPr="002B23E5">
        <w:t>For cohorts 10-14, …. 80-84, 85+, CCRs measure the combined effects of deaths and migration. We use the ratio of population in an age-group (</w:t>
      </w:r>
      <w:r w:rsidRPr="002B23E5">
        <w:rPr>
          <w:i/>
          <w:iCs/>
        </w:rPr>
        <w:t>a</w:t>
      </w:r>
      <w:r w:rsidRPr="002B23E5">
        <w:t>) in one decade, to the population in age-group (</w:t>
      </w:r>
      <w:r w:rsidRPr="002B23E5">
        <w:rPr>
          <w:i/>
          <w:iCs/>
        </w:rPr>
        <w:t>a-10</w:t>
      </w:r>
      <w:r w:rsidRPr="002B23E5">
        <w:t>) in the previous decade, to calculate CCRs.</w:t>
      </w:r>
    </w:p>
    <w:p w14:paraId="47B8528D" w14:textId="2A523179" w:rsidR="006D5FC2" w:rsidRPr="00942EA4" w:rsidRDefault="00000000" w:rsidP="00942EA4">
      <w:pPr>
        <w:pStyle w:val="ListParagraph"/>
        <w:numPr>
          <w:ilvl w:val="0"/>
          <w:numId w:val="0"/>
        </w:numPr>
        <w:spacing w:after="240"/>
        <w:ind w:left="720"/>
        <w:rPr>
          <w:rFonts w:ascii="Segoe UI" w:hAnsi="Segoe UI" w:cs="Segoe UI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CCR</m:t>
              </m:r>
            </m:e>
            <m:sub>
              <m:r>
                <w:rPr>
                  <w:rFonts w:ascii="Cambria Math" w:hAnsi="Cambria Math"/>
                </w:rPr>
                <m:t>Age Cohort</m:t>
              </m:r>
            </m:sub>
            <m:sup>
              <m:r>
                <w:rPr>
                  <w:rFonts w:ascii="Cambria Math" w:hAnsi="Cambria Math"/>
                </w:rPr>
                <m:t>2010-2020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Locality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Population</m:t>
                  </m:r>
                </m:e>
                <m:sub>
                  <m:r>
                    <w:rPr>
                      <w:rFonts w:ascii="Cambria Math" w:hAnsi="Cambria Math"/>
                    </w:rPr>
                    <m:t>Age Cohort</m:t>
                  </m:r>
                </m:sub>
                <m:sup>
                  <m:r>
                    <w:rPr>
                      <w:rFonts w:ascii="Cambria Math" w:hAnsi="Cambria Math"/>
                    </w:rPr>
                    <m:t>2020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LocalityPopulation</m:t>
                  </m:r>
                </m:e>
                <m:sub>
                  <m:r>
                    <w:rPr>
                      <w:rFonts w:ascii="Cambria Math" w:hAnsi="Cambria Math"/>
                    </w:rPr>
                    <m:t>Age Cohort-10</m:t>
                  </m:r>
                </m:sub>
                <m:sup>
                  <m:r>
                    <w:rPr>
                      <w:rFonts w:ascii="Cambria Math" w:hAnsi="Cambria Math"/>
                    </w:rPr>
                    <m:t>2010</m:t>
                  </m:r>
                </m:sup>
              </m:sSubSup>
            </m:den>
          </m:f>
        </m:oMath>
      </m:oMathPara>
    </w:p>
    <w:p w14:paraId="0A66BDF5" w14:textId="1A4AC6DE" w:rsidR="001634E3" w:rsidRPr="00E00741" w:rsidRDefault="001634E3" w:rsidP="0086651F">
      <w:pPr>
        <w:pStyle w:val="ListParagraph"/>
      </w:pPr>
      <w:r w:rsidRPr="00E00741">
        <w:t>Calculating the projected locality population by age for 2030 from</w:t>
      </w:r>
      <w:r w:rsidRPr="00077EAF">
        <w:t xml:space="preserve"> Hamilton-Perry age forwarding, using </w:t>
      </w:r>
      <w:r w:rsidR="007B3EAD" w:rsidRPr="00077EAF">
        <w:t xml:space="preserve">population </w:t>
      </w:r>
      <w:r w:rsidRPr="00077EAF">
        <w:t>data from 2020</w:t>
      </w:r>
      <w:r w:rsidR="007B3EAD" w:rsidRPr="00077EAF">
        <w:t xml:space="preserve"> as the launch year</w:t>
      </w:r>
      <w:r w:rsidRPr="00077EAF">
        <w:t xml:space="preserve"> and locality specific </w:t>
      </w:r>
      <w:r w:rsidR="007B3EAD" w:rsidRPr="00077EAF">
        <w:t>CPR</w:t>
      </w:r>
      <w:r w:rsidR="00C8222C" w:rsidRPr="00077EAF">
        <w:t>s</w:t>
      </w:r>
      <w:r w:rsidR="007B3EAD" w:rsidRPr="00077EAF">
        <w:t xml:space="preserve"> </w:t>
      </w:r>
      <w:r w:rsidR="00077EAF" w:rsidRPr="00077EAF">
        <w:t xml:space="preserve">(for children under-10) </w:t>
      </w:r>
      <w:r w:rsidR="007B3EAD" w:rsidRPr="00077EAF">
        <w:t>or CCR</w:t>
      </w:r>
      <w:r w:rsidR="00C8222C" w:rsidRPr="00077EAF">
        <w:t xml:space="preserve">s </w:t>
      </w:r>
      <w:r w:rsidR="00077EAF" w:rsidRPr="00077EAF">
        <w:t xml:space="preserve">(for all others) </w:t>
      </w:r>
      <w:r w:rsidR="00C8222C" w:rsidRPr="00077EAF">
        <w:t>over 2010-2020</w:t>
      </w:r>
      <w:r w:rsidRPr="00077EAF">
        <w:t>.</w:t>
      </w:r>
    </w:p>
    <w:p w14:paraId="11ECD0FB" w14:textId="2995005D" w:rsidR="009F3C7E" w:rsidRPr="00E00741" w:rsidRDefault="00000000" w:rsidP="00DB1FD1">
      <w:pPr>
        <w:pStyle w:val="ListParagraph"/>
        <w:numPr>
          <w:ilvl w:val="0"/>
          <w:numId w:val="0"/>
        </w:numPr>
        <w:ind w:left="720"/>
        <w:rPr>
          <w:rFonts w:ascii="Segoe UI" w:hAnsi="Segoe UI" w:cs="Segoe UI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Loc</m:t>
              </m:r>
              <m:r>
                <w:rPr>
                  <w:rFonts w:ascii="Cambria Math" w:hAnsi="Cambria Math" w:cs="Segoe UI"/>
                  <w:szCs w:val="20"/>
                </w:rPr>
                <m:t>ality</m:t>
              </m:r>
              <m:r>
                <w:rPr>
                  <w:rFonts w:ascii="Cambria Math" w:eastAsiaTheme="minorEastAsia" w:hAnsi="Cambria Math"/>
                </w:rPr>
                <m:t>PopulationHP</m:t>
              </m:r>
            </m:e>
            <m:sub>
              <m:r>
                <w:rPr>
                  <w:rFonts w:ascii="Cambria Math" w:eastAsiaTheme="minorEastAsia" w:hAnsi="Cambria Math"/>
                </w:rPr>
                <m:t>Age Cohort</m:t>
              </m:r>
            </m:sub>
            <m:sup>
              <m:r>
                <w:rPr>
                  <w:rFonts w:ascii="Cambria Math" w:eastAsiaTheme="minorEastAsia" w:hAnsi="Cambria Math"/>
                </w:rPr>
                <m:t>2030</m:t>
              </m:r>
            </m:sup>
          </m:sSubSup>
          <m:r>
            <w:rPr>
              <w:rFonts w:ascii="Cambria Math" w:eastAsiaTheme="minorEastAsia" w:hAnsi="Cambria Math"/>
            </w:rPr>
            <m:t>≅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CPR</m:t>
              </m:r>
            </m:e>
            <m:sub>
              <m:r>
                <w:rPr>
                  <w:rFonts w:ascii="Cambria Math" w:hAnsi="Cambria Math"/>
                </w:rPr>
                <m:t>Age Cohort</m:t>
              </m:r>
            </m:sub>
            <m:sup>
              <m:r>
                <w:rPr>
                  <w:rFonts w:ascii="Cambria Math" w:hAnsi="Cambria Math"/>
                </w:rPr>
                <m:t>2010-2020</m:t>
              </m:r>
            </m:sup>
          </m:sSubSup>
          <m:r>
            <w:rPr>
              <w:rFonts w:ascii="Cambria Math" w:eastAsiaTheme="minorEastAsia" w:hAnsi="Cambria Math"/>
            </w:rPr>
            <m:t>*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Loc</m:t>
              </m:r>
              <m:r>
                <w:rPr>
                  <w:rFonts w:ascii="Cambria Math" w:hAnsi="Cambria Math" w:cs="Segoe UI"/>
                  <w:szCs w:val="20"/>
                </w:rPr>
                <m:t>ality</m:t>
              </m:r>
              <m:r>
                <w:rPr>
                  <w:rFonts w:ascii="Cambria Math" w:eastAsiaTheme="minorEastAsia" w:hAnsi="Cambria Math"/>
                </w:rPr>
                <m:t>Population</m:t>
              </m:r>
            </m:e>
            <m:sub>
              <m:r>
                <w:rPr>
                  <w:rFonts w:ascii="Cambria Math" w:eastAsiaTheme="minorEastAsia" w:hAnsi="Cambria Math"/>
                </w:rPr>
                <m:t>Age Cohort-10</m:t>
              </m:r>
            </m:sub>
            <m:sup>
              <m:r>
                <w:rPr>
                  <w:rFonts w:ascii="Cambria Math" w:eastAsiaTheme="minorEastAsia" w:hAnsi="Cambria Math"/>
                </w:rPr>
                <m:t>2020</m:t>
              </m:r>
            </m:sup>
          </m:sSubSup>
        </m:oMath>
      </m:oMathPara>
    </w:p>
    <w:p w14:paraId="3C833155" w14:textId="2B409B76" w:rsidR="008B185E" w:rsidRPr="00E00741" w:rsidRDefault="00000000" w:rsidP="00E311A3">
      <w:pPr>
        <w:pStyle w:val="ListParagraph"/>
        <w:numPr>
          <w:ilvl w:val="0"/>
          <w:numId w:val="0"/>
        </w:numPr>
        <w:spacing w:after="240"/>
        <w:ind w:left="720"/>
        <w:rPr>
          <w:rFonts w:ascii="Segoe UI" w:hAnsi="Segoe UI" w:cs="Segoe UI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Loc</m:t>
              </m:r>
              <m:r>
                <w:rPr>
                  <w:rFonts w:ascii="Cambria Math" w:hAnsi="Cambria Math" w:cs="Segoe UI"/>
                  <w:szCs w:val="20"/>
                </w:rPr>
                <m:t>ality</m:t>
              </m:r>
              <m:r>
                <w:rPr>
                  <w:rFonts w:ascii="Cambria Math" w:eastAsiaTheme="minorEastAsia" w:hAnsi="Cambria Math"/>
                </w:rPr>
                <m:t>PopulationHP</m:t>
              </m:r>
            </m:e>
            <m:sub>
              <m:r>
                <w:rPr>
                  <w:rFonts w:ascii="Cambria Math" w:eastAsiaTheme="minorEastAsia" w:hAnsi="Cambria Math"/>
                </w:rPr>
                <m:t>Age Cohort</m:t>
              </m:r>
            </m:sub>
            <m:sup>
              <m:r>
                <w:rPr>
                  <w:rFonts w:ascii="Cambria Math" w:eastAsiaTheme="minorEastAsia" w:hAnsi="Cambria Math"/>
                </w:rPr>
                <m:t>2030</m:t>
              </m:r>
            </m:sup>
          </m:sSubSup>
          <m:r>
            <w:rPr>
              <w:rFonts w:ascii="Cambria Math" w:eastAsiaTheme="minorEastAsia" w:hAnsi="Cambria Math"/>
            </w:rPr>
            <m:t>≅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CCR</m:t>
              </m:r>
            </m:e>
            <m:sub>
              <m:r>
                <w:rPr>
                  <w:rFonts w:ascii="Cambria Math" w:hAnsi="Cambria Math"/>
                </w:rPr>
                <m:t>Age Cohort</m:t>
              </m:r>
            </m:sub>
            <m:sup>
              <m:r>
                <w:rPr>
                  <w:rFonts w:ascii="Cambria Math" w:hAnsi="Cambria Math"/>
                </w:rPr>
                <m:t>2010-2020</m:t>
              </m:r>
            </m:sup>
          </m:sSubSup>
          <m:r>
            <w:rPr>
              <w:rFonts w:ascii="Cambria Math" w:eastAsiaTheme="minorEastAsia" w:hAnsi="Cambria Math"/>
            </w:rPr>
            <m:t>*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Loc</m:t>
              </m:r>
              <m:r>
                <w:rPr>
                  <w:rFonts w:ascii="Cambria Math" w:hAnsi="Cambria Math" w:cs="Segoe UI"/>
                  <w:szCs w:val="20"/>
                </w:rPr>
                <m:t>ality</m:t>
              </m:r>
              <m:r>
                <w:rPr>
                  <w:rFonts w:ascii="Cambria Math" w:eastAsiaTheme="minorEastAsia" w:hAnsi="Cambria Math"/>
                </w:rPr>
                <m:t>Population</m:t>
              </m:r>
            </m:e>
            <m:sub>
              <m:r>
                <w:rPr>
                  <w:rFonts w:ascii="Cambria Math" w:eastAsiaTheme="minorEastAsia" w:hAnsi="Cambria Math"/>
                </w:rPr>
                <m:t>Age Cohort-10</m:t>
              </m:r>
            </m:sub>
            <m:sup>
              <m:r>
                <w:rPr>
                  <w:rFonts w:ascii="Cambria Math" w:eastAsiaTheme="minorEastAsia" w:hAnsi="Cambria Math"/>
                </w:rPr>
                <m:t>2020</m:t>
              </m:r>
            </m:sup>
          </m:sSubSup>
        </m:oMath>
      </m:oMathPara>
    </w:p>
    <w:p w14:paraId="4FFE5C67" w14:textId="20425129" w:rsidR="00C8222C" w:rsidRPr="00DA157E" w:rsidRDefault="00C8222C" w:rsidP="00DB1FD1">
      <w:pPr>
        <w:pStyle w:val="ListParagraph"/>
        <w:numPr>
          <w:ilvl w:val="0"/>
          <w:numId w:val="0"/>
        </w:numPr>
        <w:ind w:left="720"/>
      </w:pPr>
      <w:r w:rsidRPr="00DA157E">
        <w:t>Now the total population of the locality for 2030 from Hamilton-Perry method can be calcu</w:t>
      </w:r>
      <w:r w:rsidR="00840E30" w:rsidRPr="00DA157E">
        <w:t xml:space="preserve">lated by summing across all age </w:t>
      </w:r>
      <w:r w:rsidRPr="00DA157E">
        <w:t>cohorts,</w:t>
      </w:r>
    </w:p>
    <w:p w14:paraId="6D8CA2C1" w14:textId="2B6B3E26" w:rsidR="00155166" w:rsidRPr="00E00741" w:rsidRDefault="00000000" w:rsidP="002B23E5">
      <w:pPr>
        <w:pStyle w:val="ListParagraph"/>
        <w:numPr>
          <w:ilvl w:val="0"/>
          <w:numId w:val="0"/>
        </w:numPr>
        <w:spacing w:after="240"/>
        <w:ind w:left="720"/>
        <w:rPr>
          <w:rFonts w:ascii="Cambria" w:eastAsiaTheme="minorEastAsia" w:hAnsi="Cambr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Loc</m:t>
              </m:r>
              <m:r>
                <w:rPr>
                  <w:rFonts w:ascii="Cambria Math" w:hAnsi="Cambria Math" w:cs="Segoe UI"/>
                  <w:szCs w:val="20"/>
                </w:rPr>
                <m:t>ality</m:t>
              </m:r>
              <m:r>
                <w:rPr>
                  <w:rFonts w:ascii="Cambria Math" w:hAnsi="Cambria Math"/>
                </w:rPr>
                <m:t>PopulationHP</m:t>
              </m:r>
            </m:e>
            <m:sub>
              <m:r>
                <w:rPr>
                  <w:rFonts w:ascii="Cambria Math" w:hAnsi="Cambria Math"/>
                </w:rPr>
                <m:t>2030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Age Cohorts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LocPopulationHP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Age Cohort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2030</m:t>
                  </m:r>
                </m:sup>
              </m:sSubSup>
            </m:e>
          </m:nary>
        </m:oMath>
      </m:oMathPara>
    </w:p>
    <w:p w14:paraId="3D156793" w14:textId="77E25E87" w:rsidR="003A2C48" w:rsidRPr="00E00741" w:rsidRDefault="00B46361" w:rsidP="0086651F">
      <w:pPr>
        <w:pStyle w:val="ListParagraph"/>
      </w:pPr>
      <w:r w:rsidRPr="00E00741">
        <w:t>Calculating the locality’s population for 203</w:t>
      </w:r>
      <w:r w:rsidR="00840E30" w:rsidRPr="00E00741">
        <w:t xml:space="preserve">0 for each age </w:t>
      </w:r>
      <w:r w:rsidRPr="00E00741">
        <w:t>interval, by redistributing the total population for 2030 as per the a</w:t>
      </w:r>
      <w:r w:rsidR="00840E30" w:rsidRPr="00E00741">
        <w:t xml:space="preserve">ge </w:t>
      </w:r>
      <w:r w:rsidRPr="00E00741">
        <w:t>distribution from Hamilton-Perry method</w:t>
      </w:r>
      <w:r w:rsidR="00A20659" w:rsidRPr="00E00741">
        <w:t>.</w:t>
      </w:r>
    </w:p>
    <w:p w14:paraId="7127B833" w14:textId="1EC1E75D" w:rsidR="00120692" w:rsidRPr="00E00741" w:rsidRDefault="00000000" w:rsidP="004F2935">
      <w:pPr>
        <w:pStyle w:val="ListParagraph"/>
        <w:numPr>
          <w:ilvl w:val="0"/>
          <w:numId w:val="0"/>
        </w:numPr>
        <w:spacing w:after="240"/>
        <w:ind w:left="720"/>
        <w:rPr>
          <w:rFonts w:ascii="Cambria" w:eastAsiaTheme="minorEastAsia" w:hAnsi="Cambr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Loc</m:t>
              </m:r>
              <m:r>
                <m:rPr>
                  <m:sty m:val="bi"/>
                </m:rPr>
                <w:rPr>
                  <w:rFonts w:ascii="Cambria Math" w:hAnsi="Cambria Math" w:cs="Segoe UI"/>
                  <w:szCs w:val="20"/>
                </w:rPr>
                <m:t>ality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Population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Age Cohort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2030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Loc</m:t>
                  </m:r>
                  <m:r>
                    <w:rPr>
                      <w:rFonts w:ascii="Cambria Math" w:hAnsi="Cambria Math" w:cs="Segoe UI"/>
                      <w:szCs w:val="20"/>
                    </w:rPr>
                    <m:t>ality</m:t>
                  </m:r>
                  <m:r>
                    <w:rPr>
                      <w:rFonts w:ascii="Cambria Math" w:eastAsiaTheme="minorEastAsia" w:hAnsi="Cambria Math"/>
                    </w:rPr>
                    <m:t>PopulationHP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Age Cohort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2030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Loc</m:t>
                  </m:r>
                  <m:r>
                    <w:rPr>
                      <w:rFonts w:ascii="Cambria Math" w:hAnsi="Cambria Math" w:cs="Segoe UI"/>
                      <w:szCs w:val="20"/>
                    </w:rPr>
                    <m:t>ality</m:t>
                  </m:r>
                  <m:r>
                    <w:rPr>
                      <w:rFonts w:ascii="Cambria Math" w:eastAsiaTheme="minorEastAsia" w:hAnsi="Cambria Math"/>
                    </w:rPr>
                    <m:t>PopulationHP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2030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Loc</m:t>
              </m:r>
              <m:r>
                <w:rPr>
                  <w:rFonts w:ascii="Cambria Math" w:hAnsi="Cambria Math" w:cs="Segoe UI"/>
                  <w:szCs w:val="20"/>
                </w:rPr>
                <m:t>ality</m:t>
              </m:r>
              <m:r>
                <w:rPr>
                  <w:rFonts w:ascii="Cambria Math" w:eastAsiaTheme="minorEastAsia" w:hAnsi="Cambria Math"/>
                </w:rPr>
                <m:t>Population</m:t>
              </m:r>
            </m:e>
            <m:sub>
              <m:r>
                <w:rPr>
                  <w:rFonts w:ascii="Cambria Math" w:eastAsiaTheme="minorEastAsia" w:hAnsi="Cambria Math"/>
                </w:rPr>
                <m:t>2030</m:t>
              </m:r>
            </m:sub>
          </m:sSub>
        </m:oMath>
      </m:oMathPara>
    </w:p>
    <w:p w14:paraId="32E164AA" w14:textId="39C3803F" w:rsidR="00492E1F" w:rsidRPr="00E00741" w:rsidRDefault="00492E1F" w:rsidP="0086651F">
      <w:pPr>
        <w:pStyle w:val="ListParagraph"/>
      </w:pPr>
      <w:r w:rsidRPr="00E00741">
        <w:lastRenderedPageBreak/>
        <w:t xml:space="preserve">To accommodate for the </w:t>
      </w:r>
      <w:r w:rsidR="0040799B" w:rsidRPr="00E00741">
        <w:t xml:space="preserve">expected </w:t>
      </w:r>
      <w:r w:rsidRPr="00E00741">
        <w:t xml:space="preserve">2030 age-structure amongst the older cohorts, each of the 65+ intervals are </w:t>
      </w:r>
      <w:r w:rsidR="002F128F" w:rsidRPr="00E00741">
        <w:t>held at</w:t>
      </w:r>
      <w:r w:rsidRPr="00E00741">
        <w:t xml:space="preserve"> their Hamilton-Perry </w:t>
      </w:r>
      <w:r w:rsidR="00D369F3">
        <w:t>level</w:t>
      </w:r>
      <w:r w:rsidRPr="00E00741">
        <w:t>s</w:t>
      </w:r>
      <w:r w:rsidR="002F128F" w:rsidRPr="00E00741">
        <w:t xml:space="preserve"> for localities, and </w:t>
      </w:r>
      <w:r w:rsidRPr="00E00741">
        <w:t>t</w:t>
      </w:r>
      <w:r w:rsidR="00D369F3">
        <w:t>hey</w:t>
      </w:r>
      <w:r w:rsidRPr="00E00741">
        <w:t xml:space="preserve"> add up to the Virginia aggregate for these older cohorts. The remaining age groups are re-distributed </w:t>
      </w:r>
      <w:r w:rsidR="00394F02" w:rsidRPr="00E00741">
        <w:t>according to</w:t>
      </w:r>
      <w:r w:rsidRPr="00E00741">
        <w:t xml:space="preserve"> their shares in the residual of the locali</w:t>
      </w:r>
      <w:r w:rsidR="00D369F3">
        <w:t>ty’</w:t>
      </w:r>
      <w:r w:rsidRPr="00E00741">
        <w:t>s total population.</w:t>
      </w:r>
    </w:p>
    <w:p w14:paraId="4F75CD84" w14:textId="3E87C181" w:rsidR="00394F02" w:rsidRPr="00E00741" w:rsidRDefault="00394F02" w:rsidP="0086651F">
      <w:pPr>
        <w:pStyle w:val="ListParagraph"/>
      </w:pPr>
      <w:r w:rsidRPr="00E00741">
        <w:t xml:space="preserve">To accommodate for the expected 2030 age-structure amongst the younger cohorts, locality level annual births data are used as a proxy for the (0-4) and (5-9) cohorts in 2030. </w:t>
      </w:r>
    </w:p>
    <w:p w14:paraId="7028DEA2" w14:textId="78C82FDF" w:rsidR="00B46361" w:rsidRPr="00E00741" w:rsidRDefault="00B46361" w:rsidP="0086651F">
      <w:pPr>
        <w:pStyle w:val="ListParagraph"/>
      </w:pPr>
      <w:r w:rsidRPr="00E00741">
        <w:t>Calculating the projected state population for 20</w:t>
      </w:r>
      <w:r w:rsidR="00032DDC" w:rsidRPr="00E00741">
        <w:t>3</w:t>
      </w:r>
      <w:r w:rsidRPr="00E00741">
        <w:t>0 by each age cohort, from summing the projected locality populations for 20</w:t>
      </w:r>
      <w:r w:rsidR="00032DDC" w:rsidRPr="00E00741">
        <w:t>3</w:t>
      </w:r>
      <w:r w:rsidRPr="00E00741">
        <w:t>0 by each age cohort.</w:t>
      </w:r>
    </w:p>
    <w:p w14:paraId="474E33EA" w14:textId="6126DF22" w:rsidR="00B46361" w:rsidRPr="00E00741" w:rsidRDefault="00000000" w:rsidP="00DA157E">
      <w:pPr>
        <w:pStyle w:val="ListParagraph"/>
        <w:numPr>
          <w:ilvl w:val="0"/>
          <w:numId w:val="0"/>
        </w:numPr>
        <w:spacing w:after="240"/>
        <w:ind w:left="720"/>
        <w:rPr>
          <w:rFonts w:ascii="Cambria" w:eastAsiaTheme="minorEastAsia" w:hAnsi="Cambr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VAPopulation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Age Cohort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2030</m:t>
              </m:r>
            </m:sup>
          </m:sSubSup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Locality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LocalityPopulation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Age Cohort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2030</m:t>
                  </m:r>
                </m:sup>
              </m:sSubSup>
            </m:e>
          </m:nary>
        </m:oMath>
      </m:oMathPara>
    </w:p>
    <w:p w14:paraId="455A4FAD" w14:textId="77777777" w:rsidR="00C8222C" w:rsidRPr="00E00741" w:rsidRDefault="00D83AF9" w:rsidP="00DA157E">
      <w:pPr>
        <w:pStyle w:val="Body"/>
      </w:pPr>
      <w:r w:rsidRPr="00E00741">
        <w:t>This yields the projected age distribution for Virginia’s overall population in 2030.</w:t>
      </w:r>
    </w:p>
    <w:p w14:paraId="6A991376" w14:textId="34DA5B17" w:rsidR="00A23C49" w:rsidRPr="00E00741" w:rsidRDefault="00801CAC" w:rsidP="00022450">
      <w:pPr>
        <w:pStyle w:val="ListParagraph"/>
        <w:numPr>
          <w:ilvl w:val="0"/>
          <w:numId w:val="24"/>
        </w:numPr>
      </w:pPr>
      <w:r w:rsidRPr="00E00741">
        <w:t xml:space="preserve">The process is repeated for 2040 and 2050 by applying the Hamilton Perry age forwarding to the locality population in the immediately preceding </w:t>
      </w:r>
      <w:proofErr w:type="gramStart"/>
      <w:r w:rsidRPr="00E00741">
        <w:t>decade, and</w:t>
      </w:r>
      <w:proofErr w:type="gramEnd"/>
      <w:r w:rsidRPr="00E00741">
        <w:t xml:space="preserve"> using this age distribution to redistribute the previously calculated locality total projections. </w:t>
      </w:r>
      <w:r w:rsidR="002F128F" w:rsidRPr="00E00741">
        <w:t>No</w:t>
      </w:r>
      <w:r w:rsidR="008975C9" w:rsidRPr="00E00741">
        <w:t xml:space="preserve"> special</w:t>
      </w:r>
      <w:r w:rsidR="002F128F" w:rsidRPr="00E00741">
        <w:t xml:space="preserve"> age adjustment is </w:t>
      </w:r>
      <w:r w:rsidR="008975C9" w:rsidRPr="00E00741">
        <w:t>made</w:t>
      </w:r>
      <w:r w:rsidR="002F128F" w:rsidRPr="00E00741">
        <w:t xml:space="preserve"> here, as the 2030 age projections already capture the expected trends for the decades ahead.</w:t>
      </w:r>
    </w:p>
    <w:p w14:paraId="6EDE1C5A" w14:textId="54EC445E" w:rsidR="00335F4E" w:rsidRPr="002B23E5" w:rsidRDefault="00A23C49" w:rsidP="002B23E5">
      <w:pPr>
        <w:pStyle w:val="ListParagraph"/>
        <w:numPr>
          <w:ilvl w:val="0"/>
          <w:numId w:val="24"/>
        </w:numPr>
      </w:pPr>
      <w:r w:rsidRPr="00E00741">
        <w:t>The state projected population for Virginia by age for 2040 and 2050 is similarly calculated by summing over the projected age categories across all the localities.</w:t>
      </w:r>
    </w:p>
    <w:p w14:paraId="6D4EE6EC" w14:textId="6D7F60CB" w:rsidR="007D131D" w:rsidRPr="00E00741" w:rsidRDefault="007D131D" w:rsidP="002B23E5">
      <w:pPr>
        <w:pStyle w:val="Heading2"/>
      </w:pPr>
      <w:r w:rsidRPr="00E00741">
        <w:t xml:space="preserve">Approach for projecting Virginia State and Locality population </w:t>
      </w:r>
      <w:r w:rsidRPr="002B23E5">
        <w:t xml:space="preserve">by </w:t>
      </w:r>
      <w:r w:rsidR="00335F4E" w:rsidRPr="002B23E5">
        <w:t>S</w:t>
      </w:r>
      <w:r w:rsidRPr="002B23E5">
        <w:t>ex</w:t>
      </w:r>
      <w:r w:rsidRPr="00E00741">
        <w:t>:</w:t>
      </w:r>
    </w:p>
    <w:p w14:paraId="1FD478D3" w14:textId="4AAD9925" w:rsidR="002D6E4E" w:rsidRPr="00A86E08" w:rsidRDefault="00801CAC" w:rsidP="00784942">
      <w:pPr>
        <w:pStyle w:val="Body"/>
        <w:rPr>
          <w:color w:val="FF0000"/>
        </w:rPr>
      </w:pPr>
      <w:r w:rsidRPr="00E00741">
        <w:t>Projections by sex are determined by maintaining the population’s age-spec</w:t>
      </w:r>
      <w:r w:rsidR="00840E30" w:rsidRPr="00E00741">
        <w:t>ific sex-ratio as per the 2020 C</w:t>
      </w:r>
      <w:r w:rsidRPr="00E00741">
        <w:t>ensus. Since sex-ratios are historically stable, this ensures that localities with unique sex-distribution (prisons, military barracks etc.) can retain their characteristics. The sex-ratio is applied to the projected population in each age cohort within each locality, for 2030, 2040</w:t>
      </w:r>
      <w:r w:rsidR="00BD67E7">
        <w:t>,</w:t>
      </w:r>
      <w:r w:rsidRPr="00E00741">
        <w:t xml:space="preserve"> and 2050. The male and female population groups within each age cohort are then summed across all the localities, to get the popula</w:t>
      </w:r>
      <w:r w:rsidRPr="00A20659">
        <w:t>tion projections by sex for Virginia as a whole.</w:t>
      </w:r>
    </w:p>
    <w:sectPr w:rsidR="002D6E4E" w:rsidRPr="00A86E08" w:rsidSect="00E72F5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96" w:right="1296" w:bottom="1296" w:left="129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5457" w14:textId="77777777" w:rsidR="00B55042" w:rsidRDefault="00B55042" w:rsidP="00572299">
      <w:pPr>
        <w:spacing w:after="0" w:line="240" w:lineRule="auto"/>
      </w:pPr>
      <w:r>
        <w:separator/>
      </w:r>
    </w:p>
  </w:endnote>
  <w:endnote w:type="continuationSeparator" w:id="0">
    <w:p w14:paraId="44C02FD5" w14:textId="77777777" w:rsidR="00B55042" w:rsidRDefault="00B55042" w:rsidP="0057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5320" w14:textId="7DB5BEE5" w:rsidR="00D91565" w:rsidRPr="009237FB" w:rsidRDefault="009237FB" w:rsidP="009237FB">
    <w:pPr>
      <w:pStyle w:val="Footer"/>
      <w:rPr>
        <w:i w:val="0"/>
        <w:iCs/>
      </w:rPr>
    </w:pPr>
    <w:r>
      <w:t xml:space="preserve">Virginia Population Projections </w:t>
    </w:r>
    <w:proofErr w:type="gramStart"/>
    <w:r>
      <w:t>Methodology  |</w:t>
    </w:r>
    <w:proofErr w:type="gramEnd"/>
    <w:r>
      <w:t xml:space="preserve">  Weldon Cooper Center for Public Service</w:t>
    </w:r>
    <w:r>
      <w:tab/>
    </w:r>
    <w:r w:rsidRPr="009237FB">
      <w:rPr>
        <w:i w:val="0"/>
        <w:iCs/>
      </w:rPr>
      <w:fldChar w:fldCharType="begin"/>
    </w:r>
    <w:r w:rsidRPr="009237FB">
      <w:rPr>
        <w:i w:val="0"/>
        <w:iCs/>
      </w:rPr>
      <w:instrText xml:space="preserve"> PAGE   \* MERGEFORMAT </w:instrText>
    </w:r>
    <w:r w:rsidRPr="009237FB">
      <w:rPr>
        <w:i w:val="0"/>
        <w:iCs/>
      </w:rPr>
      <w:fldChar w:fldCharType="separate"/>
    </w:r>
    <w:r w:rsidRPr="009237FB">
      <w:rPr>
        <w:i w:val="0"/>
        <w:iCs/>
        <w:noProof/>
      </w:rPr>
      <w:t>1</w:t>
    </w:r>
    <w:r w:rsidRPr="009237FB">
      <w:rPr>
        <w:i w:val="0"/>
        <w:iCs/>
        <w:noProof/>
      </w:rPr>
      <w:fldChar w:fldCharType="end"/>
    </w:r>
  </w:p>
  <w:p w14:paraId="2975E15D" w14:textId="77777777" w:rsidR="009237FB" w:rsidRPr="009237FB" w:rsidRDefault="009237FB" w:rsidP="00923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777E" w14:textId="4398DC66" w:rsidR="00E72F50" w:rsidRPr="00367D1B" w:rsidRDefault="0007575A" w:rsidP="00367D1B">
    <w:pPr>
      <w:pStyle w:val="Footer"/>
    </w:pPr>
    <w:r>
      <w:t xml:space="preserve">Virginia Population Projections </w:t>
    </w:r>
    <w:proofErr w:type="gramStart"/>
    <w:r>
      <w:t>Methodology</w:t>
    </w:r>
    <w:r w:rsidR="009237FB">
      <w:t xml:space="preserve"> </w:t>
    </w:r>
    <w:r>
      <w:t xml:space="preserve"> |</w:t>
    </w:r>
    <w:proofErr w:type="gramEnd"/>
    <w:r>
      <w:t xml:space="preserve"> </w:t>
    </w:r>
    <w:r w:rsidR="009237FB">
      <w:t xml:space="preserve"> </w:t>
    </w:r>
    <w:r>
      <w:t>Weldon Cooper Center for Public Service</w:t>
    </w:r>
    <w:r>
      <w:tab/>
    </w:r>
    <w:r w:rsidRPr="0007575A">
      <w:rPr>
        <w:i w:val="0"/>
        <w:iCs/>
      </w:rPr>
      <w:fldChar w:fldCharType="begin"/>
    </w:r>
    <w:r w:rsidRPr="0007575A">
      <w:rPr>
        <w:i w:val="0"/>
        <w:iCs/>
      </w:rPr>
      <w:instrText xml:space="preserve"> PAGE   \* MERGEFORMAT </w:instrText>
    </w:r>
    <w:r w:rsidRPr="0007575A">
      <w:rPr>
        <w:i w:val="0"/>
        <w:iCs/>
      </w:rPr>
      <w:fldChar w:fldCharType="separate"/>
    </w:r>
    <w:r w:rsidRPr="0007575A">
      <w:rPr>
        <w:i w:val="0"/>
        <w:iCs/>
        <w:noProof/>
      </w:rPr>
      <w:t>1</w:t>
    </w:r>
    <w:r w:rsidRPr="0007575A">
      <w:rPr>
        <w:i w:val="0"/>
        <w:i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FA04B" w14:textId="77777777" w:rsidR="00B55042" w:rsidRDefault="00B55042" w:rsidP="00572299">
      <w:pPr>
        <w:spacing w:after="0" w:line="240" w:lineRule="auto"/>
      </w:pPr>
      <w:r>
        <w:separator/>
      </w:r>
    </w:p>
  </w:footnote>
  <w:footnote w:type="continuationSeparator" w:id="0">
    <w:p w14:paraId="2AD6899B" w14:textId="77777777" w:rsidR="00B55042" w:rsidRDefault="00B55042" w:rsidP="0057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4A23" w14:textId="1735C93B" w:rsidR="00D91565" w:rsidRPr="009F4892" w:rsidRDefault="00D91565">
    <w:pPr>
      <w:pStyle w:val="Header"/>
      <w:jc w:val="right"/>
      <w:rPr>
        <w:rFonts w:ascii="Cambria" w:hAnsi="Cambria"/>
        <w:sz w:val="18"/>
      </w:rPr>
    </w:pPr>
  </w:p>
  <w:p w14:paraId="215AE6DA" w14:textId="77777777" w:rsidR="00D91565" w:rsidRDefault="00D91565" w:rsidP="005B7DD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CBC96" w14:textId="77777777" w:rsidR="00D91565" w:rsidRDefault="00D65534" w:rsidP="005B7DD7">
    <w:pPr>
      <w:pStyle w:val="Header"/>
      <w:jc w:val="center"/>
    </w:pPr>
    <w:r>
      <w:rPr>
        <w:noProof/>
      </w:rPr>
      <w:drawing>
        <wp:inline distT="0" distB="0" distL="0" distR="0" wp14:anchorId="7219EAFA" wp14:editId="626C0788">
          <wp:extent cx="4701626" cy="822788"/>
          <wp:effectExtent l="0" t="0" r="3810" b="0"/>
          <wp:docPr id="2" name="Picture 2" descr="Weldon Cooper Center Demographics Research Group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don Cooper Center Demographics Research Group lo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026" cy="835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384"/>
    <w:multiLevelType w:val="hybridMultilevel"/>
    <w:tmpl w:val="B1F0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56D7"/>
    <w:multiLevelType w:val="hybridMultilevel"/>
    <w:tmpl w:val="A3129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B3E4D"/>
    <w:multiLevelType w:val="hybridMultilevel"/>
    <w:tmpl w:val="BDB07DAA"/>
    <w:lvl w:ilvl="0" w:tplc="7842E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2626" w:themeColor="text1" w:themeTint="D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A14"/>
    <w:multiLevelType w:val="hybridMultilevel"/>
    <w:tmpl w:val="D3947B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102A"/>
    <w:multiLevelType w:val="hybridMultilevel"/>
    <w:tmpl w:val="BA4E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E6299"/>
    <w:multiLevelType w:val="hybridMultilevel"/>
    <w:tmpl w:val="566CDC58"/>
    <w:lvl w:ilvl="0" w:tplc="CBC03A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93933"/>
    <w:multiLevelType w:val="hybridMultilevel"/>
    <w:tmpl w:val="EB10676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035E9F"/>
    <w:multiLevelType w:val="hybridMultilevel"/>
    <w:tmpl w:val="7896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E6D3F"/>
    <w:multiLevelType w:val="hybridMultilevel"/>
    <w:tmpl w:val="B26C6E12"/>
    <w:lvl w:ilvl="0" w:tplc="2F5AD43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826D7"/>
    <w:multiLevelType w:val="hybridMultilevel"/>
    <w:tmpl w:val="8F2AA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70468"/>
    <w:multiLevelType w:val="hybridMultilevel"/>
    <w:tmpl w:val="EB10676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C26A30"/>
    <w:multiLevelType w:val="hybridMultilevel"/>
    <w:tmpl w:val="15ACE6E6"/>
    <w:lvl w:ilvl="0" w:tplc="0B3C51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5423A"/>
    <w:multiLevelType w:val="hybridMultilevel"/>
    <w:tmpl w:val="FCE6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802A9"/>
    <w:multiLevelType w:val="hybridMultilevel"/>
    <w:tmpl w:val="635AFF5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46D1A"/>
    <w:multiLevelType w:val="hybridMultilevel"/>
    <w:tmpl w:val="4C862C12"/>
    <w:lvl w:ilvl="0" w:tplc="D926357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6492C57"/>
    <w:multiLevelType w:val="hybridMultilevel"/>
    <w:tmpl w:val="A696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3D5A"/>
    <w:multiLevelType w:val="hybridMultilevel"/>
    <w:tmpl w:val="D0D6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16C31"/>
    <w:multiLevelType w:val="hybridMultilevel"/>
    <w:tmpl w:val="8F401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A84B28"/>
    <w:multiLevelType w:val="hybridMultilevel"/>
    <w:tmpl w:val="054A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D62E8"/>
    <w:multiLevelType w:val="hybridMultilevel"/>
    <w:tmpl w:val="553E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D7769"/>
    <w:multiLevelType w:val="hybridMultilevel"/>
    <w:tmpl w:val="DECA7528"/>
    <w:lvl w:ilvl="0" w:tplc="0B3C51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21E2C"/>
    <w:multiLevelType w:val="hybridMultilevel"/>
    <w:tmpl w:val="49D2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0583D"/>
    <w:multiLevelType w:val="hybridMultilevel"/>
    <w:tmpl w:val="A9C46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A37855"/>
    <w:multiLevelType w:val="hybridMultilevel"/>
    <w:tmpl w:val="9536C59A"/>
    <w:lvl w:ilvl="0" w:tplc="4DD2FCB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B3CC1"/>
    <w:multiLevelType w:val="hybridMultilevel"/>
    <w:tmpl w:val="514663B2"/>
    <w:lvl w:ilvl="0" w:tplc="817AA556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D31FA"/>
    <w:multiLevelType w:val="hybridMultilevel"/>
    <w:tmpl w:val="0B66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F35EF"/>
    <w:multiLevelType w:val="hybridMultilevel"/>
    <w:tmpl w:val="9D2A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80946"/>
    <w:multiLevelType w:val="hybridMultilevel"/>
    <w:tmpl w:val="CAD6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22290">
    <w:abstractNumId w:val="10"/>
  </w:num>
  <w:num w:numId="2" w16cid:durableId="1650860982">
    <w:abstractNumId w:val="5"/>
  </w:num>
  <w:num w:numId="3" w16cid:durableId="803816654">
    <w:abstractNumId w:val="21"/>
  </w:num>
  <w:num w:numId="4" w16cid:durableId="1658461238">
    <w:abstractNumId w:val="8"/>
  </w:num>
  <w:num w:numId="5" w16cid:durableId="13967425">
    <w:abstractNumId w:val="13"/>
  </w:num>
  <w:num w:numId="6" w16cid:durableId="86729262">
    <w:abstractNumId w:val="6"/>
  </w:num>
  <w:num w:numId="7" w16cid:durableId="1844737300">
    <w:abstractNumId w:val="3"/>
  </w:num>
  <w:num w:numId="8" w16cid:durableId="205412761">
    <w:abstractNumId w:val="20"/>
  </w:num>
  <w:num w:numId="9" w16cid:durableId="1264220862">
    <w:abstractNumId w:val="11"/>
  </w:num>
  <w:num w:numId="10" w16cid:durableId="242564799">
    <w:abstractNumId w:val="2"/>
  </w:num>
  <w:num w:numId="11" w16cid:durableId="994920292">
    <w:abstractNumId w:val="16"/>
  </w:num>
  <w:num w:numId="12" w16cid:durableId="474956573">
    <w:abstractNumId w:val="14"/>
  </w:num>
  <w:num w:numId="13" w16cid:durableId="1972595098">
    <w:abstractNumId w:val="25"/>
  </w:num>
  <w:num w:numId="14" w16cid:durableId="296375149">
    <w:abstractNumId w:val="19"/>
  </w:num>
  <w:num w:numId="15" w16cid:durableId="538471494">
    <w:abstractNumId w:val="18"/>
  </w:num>
  <w:num w:numId="16" w16cid:durableId="685641478">
    <w:abstractNumId w:val="15"/>
  </w:num>
  <w:num w:numId="17" w16cid:durableId="1343507297">
    <w:abstractNumId w:val="0"/>
  </w:num>
  <w:num w:numId="18" w16cid:durableId="1271813932">
    <w:abstractNumId w:val="4"/>
  </w:num>
  <w:num w:numId="19" w16cid:durableId="693725189">
    <w:abstractNumId w:val="12"/>
  </w:num>
  <w:num w:numId="20" w16cid:durableId="42993105">
    <w:abstractNumId w:val="26"/>
  </w:num>
  <w:num w:numId="21" w16cid:durableId="1931111578">
    <w:abstractNumId w:val="7"/>
  </w:num>
  <w:num w:numId="22" w16cid:durableId="1176193753">
    <w:abstractNumId w:val="9"/>
  </w:num>
  <w:num w:numId="23" w16cid:durableId="1377972686">
    <w:abstractNumId w:val="1"/>
  </w:num>
  <w:num w:numId="24" w16cid:durableId="1305816382">
    <w:abstractNumId w:val="17"/>
  </w:num>
  <w:num w:numId="25" w16cid:durableId="354114405">
    <w:abstractNumId w:val="23"/>
  </w:num>
  <w:num w:numId="26" w16cid:durableId="1845707312">
    <w:abstractNumId w:val="22"/>
  </w:num>
  <w:num w:numId="27" w16cid:durableId="1621767459">
    <w:abstractNumId w:val="24"/>
  </w:num>
  <w:num w:numId="28" w16cid:durableId="17424864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XzzQEIpIVvIc50zcR7CANvA2Qupq/7L9176WGOXJPG2kvXNW5kseRVXCjXxLVhI8GFSTNt5F2Lb0oPFVsdthA==" w:salt="BFpkjM5o7kYnAjKfKxttY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99"/>
    <w:rsid w:val="00001293"/>
    <w:rsid w:val="00001B47"/>
    <w:rsid w:val="00002A7E"/>
    <w:rsid w:val="000107DC"/>
    <w:rsid w:val="00014F1D"/>
    <w:rsid w:val="00021011"/>
    <w:rsid w:val="00022450"/>
    <w:rsid w:val="00032DDC"/>
    <w:rsid w:val="000369C8"/>
    <w:rsid w:val="00040C8B"/>
    <w:rsid w:val="00042435"/>
    <w:rsid w:val="000529EA"/>
    <w:rsid w:val="00056799"/>
    <w:rsid w:val="000576AF"/>
    <w:rsid w:val="00061208"/>
    <w:rsid w:val="00066C66"/>
    <w:rsid w:val="00072A5B"/>
    <w:rsid w:val="0007323A"/>
    <w:rsid w:val="0007575A"/>
    <w:rsid w:val="00077EAF"/>
    <w:rsid w:val="00095BA1"/>
    <w:rsid w:val="000962C5"/>
    <w:rsid w:val="000A44D7"/>
    <w:rsid w:val="000A6B53"/>
    <w:rsid w:val="000B3019"/>
    <w:rsid w:val="000B388C"/>
    <w:rsid w:val="000D28A4"/>
    <w:rsid w:val="000D4654"/>
    <w:rsid w:val="000E2430"/>
    <w:rsid w:val="000E464F"/>
    <w:rsid w:val="000F0D1A"/>
    <w:rsid w:val="00100084"/>
    <w:rsid w:val="0010293B"/>
    <w:rsid w:val="00107448"/>
    <w:rsid w:val="0011730D"/>
    <w:rsid w:val="00120692"/>
    <w:rsid w:val="00121720"/>
    <w:rsid w:val="00122BAD"/>
    <w:rsid w:val="00126D71"/>
    <w:rsid w:val="001549E3"/>
    <w:rsid w:val="00155166"/>
    <w:rsid w:val="001634E3"/>
    <w:rsid w:val="001651B6"/>
    <w:rsid w:val="00171685"/>
    <w:rsid w:val="00180EB0"/>
    <w:rsid w:val="00191883"/>
    <w:rsid w:val="001925EC"/>
    <w:rsid w:val="001A0596"/>
    <w:rsid w:val="001A40DF"/>
    <w:rsid w:val="001A550D"/>
    <w:rsid w:val="001B20C1"/>
    <w:rsid w:val="001C407E"/>
    <w:rsid w:val="001C6BF7"/>
    <w:rsid w:val="001D09D9"/>
    <w:rsid w:val="001D572F"/>
    <w:rsid w:val="001E118A"/>
    <w:rsid w:val="001E4E97"/>
    <w:rsid w:val="001F0127"/>
    <w:rsid w:val="001F02F8"/>
    <w:rsid w:val="001F0D3A"/>
    <w:rsid w:val="001F33AC"/>
    <w:rsid w:val="00200CD9"/>
    <w:rsid w:val="00200FCE"/>
    <w:rsid w:val="00212985"/>
    <w:rsid w:val="00213123"/>
    <w:rsid w:val="002259B4"/>
    <w:rsid w:val="00232BC6"/>
    <w:rsid w:val="002425C9"/>
    <w:rsid w:val="00246970"/>
    <w:rsid w:val="0024752E"/>
    <w:rsid w:val="00247D47"/>
    <w:rsid w:val="00260B5E"/>
    <w:rsid w:val="002759BE"/>
    <w:rsid w:val="00290CC3"/>
    <w:rsid w:val="00292034"/>
    <w:rsid w:val="0029467E"/>
    <w:rsid w:val="0029741F"/>
    <w:rsid w:val="00297550"/>
    <w:rsid w:val="00297814"/>
    <w:rsid w:val="00297B91"/>
    <w:rsid w:val="002A29F9"/>
    <w:rsid w:val="002A3D57"/>
    <w:rsid w:val="002A6D57"/>
    <w:rsid w:val="002A79DF"/>
    <w:rsid w:val="002B1150"/>
    <w:rsid w:val="002B23E5"/>
    <w:rsid w:val="002B4B1F"/>
    <w:rsid w:val="002B72FC"/>
    <w:rsid w:val="002C02EC"/>
    <w:rsid w:val="002C2B17"/>
    <w:rsid w:val="002C4299"/>
    <w:rsid w:val="002C5B4E"/>
    <w:rsid w:val="002D6E4E"/>
    <w:rsid w:val="002E038E"/>
    <w:rsid w:val="002E6735"/>
    <w:rsid w:val="002F128F"/>
    <w:rsid w:val="002F1CBE"/>
    <w:rsid w:val="00304313"/>
    <w:rsid w:val="00304A03"/>
    <w:rsid w:val="00305230"/>
    <w:rsid w:val="0031620E"/>
    <w:rsid w:val="00317693"/>
    <w:rsid w:val="00317E08"/>
    <w:rsid w:val="00320DEC"/>
    <w:rsid w:val="00321829"/>
    <w:rsid w:val="0032386E"/>
    <w:rsid w:val="003319F3"/>
    <w:rsid w:val="003349E3"/>
    <w:rsid w:val="00335F4E"/>
    <w:rsid w:val="00341B03"/>
    <w:rsid w:val="00347A7A"/>
    <w:rsid w:val="003572C0"/>
    <w:rsid w:val="0036051F"/>
    <w:rsid w:val="00360E99"/>
    <w:rsid w:val="003614E4"/>
    <w:rsid w:val="003616AD"/>
    <w:rsid w:val="00364D9D"/>
    <w:rsid w:val="00367A4E"/>
    <w:rsid w:val="00367D1B"/>
    <w:rsid w:val="00372D17"/>
    <w:rsid w:val="00377C09"/>
    <w:rsid w:val="003802F5"/>
    <w:rsid w:val="00394F02"/>
    <w:rsid w:val="00396B21"/>
    <w:rsid w:val="003A2C48"/>
    <w:rsid w:val="003B6A6D"/>
    <w:rsid w:val="003C5CA8"/>
    <w:rsid w:val="003D131B"/>
    <w:rsid w:val="003D242E"/>
    <w:rsid w:val="003E149F"/>
    <w:rsid w:val="003E4BBC"/>
    <w:rsid w:val="003F1579"/>
    <w:rsid w:val="00400E7B"/>
    <w:rsid w:val="00406A3D"/>
    <w:rsid w:val="0040799B"/>
    <w:rsid w:val="00413103"/>
    <w:rsid w:val="00415AF6"/>
    <w:rsid w:val="00417ADF"/>
    <w:rsid w:val="00431D2E"/>
    <w:rsid w:val="00432BF5"/>
    <w:rsid w:val="00433320"/>
    <w:rsid w:val="00433947"/>
    <w:rsid w:val="0043556F"/>
    <w:rsid w:val="00435964"/>
    <w:rsid w:val="0043732D"/>
    <w:rsid w:val="00454747"/>
    <w:rsid w:val="004548D4"/>
    <w:rsid w:val="0045497F"/>
    <w:rsid w:val="004550D5"/>
    <w:rsid w:val="0045630F"/>
    <w:rsid w:val="00460359"/>
    <w:rsid w:val="00461BF5"/>
    <w:rsid w:val="004663AC"/>
    <w:rsid w:val="004835FE"/>
    <w:rsid w:val="00483BE1"/>
    <w:rsid w:val="00487640"/>
    <w:rsid w:val="00491DAD"/>
    <w:rsid w:val="004922C1"/>
    <w:rsid w:val="00492E1F"/>
    <w:rsid w:val="00496062"/>
    <w:rsid w:val="004964CC"/>
    <w:rsid w:val="004B5611"/>
    <w:rsid w:val="004B65A6"/>
    <w:rsid w:val="004B687F"/>
    <w:rsid w:val="004C1A1B"/>
    <w:rsid w:val="004C2BE1"/>
    <w:rsid w:val="004C4D9D"/>
    <w:rsid w:val="004C6FC0"/>
    <w:rsid w:val="004E4171"/>
    <w:rsid w:val="004F0071"/>
    <w:rsid w:val="004F2935"/>
    <w:rsid w:val="004F6145"/>
    <w:rsid w:val="004F6F76"/>
    <w:rsid w:val="00500151"/>
    <w:rsid w:val="005060F1"/>
    <w:rsid w:val="00507FF2"/>
    <w:rsid w:val="00510CA3"/>
    <w:rsid w:val="00520681"/>
    <w:rsid w:val="00530A1A"/>
    <w:rsid w:val="00541D96"/>
    <w:rsid w:val="005436D3"/>
    <w:rsid w:val="0055764E"/>
    <w:rsid w:val="005633CE"/>
    <w:rsid w:val="0056549B"/>
    <w:rsid w:val="00572299"/>
    <w:rsid w:val="00573481"/>
    <w:rsid w:val="005750C2"/>
    <w:rsid w:val="0058031B"/>
    <w:rsid w:val="00594BF4"/>
    <w:rsid w:val="005A0AB6"/>
    <w:rsid w:val="005A159F"/>
    <w:rsid w:val="005A4458"/>
    <w:rsid w:val="005A7F75"/>
    <w:rsid w:val="005B55A1"/>
    <w:rsid w:val="005B7DD7"/>
    <w:rsid w:val="005C13F4"/>
    <w:rsid w:val="005C22FD"/>
    <w:rsid w:val="005D614F"/>
    <w:rsid w:val="005E19D6"/>
    <w:rsid w:val="005E2806"/>
    <w:rsid w:val="005E761E"/>
    <w:rsid w:val="005F02E1"/>
    <w:rsid w:val="005F707B"/>
    <w:rsid w:val="006019AD"/>
    <w:rsid w:val="0060423A"/>
    <w:rsid w:val="00606292"/>
    <w:rsid w:val="00607C53"/>
    <w:rsid w:val="00613E4A"/>
    <w:rsid w:val="00616554"/>
    <w:rsid w:val="006205FD"/>
    <w:rsid w:val="00621012"/>
    <w:rsid w:val="00623E35"/>
    <w:rsid w:val="00631917"/>
    <w:rsid w:val="006320C5"/>
    <w:rsid w:val="00633FE7"/>
    <w:rsid w:val="00636BF1"/>
    <w:rsid w:val="0063711C"/>
    <w:rsid w:val="00642193"/>
    <w:rsid w:val="00645CE7"/>
    <w:rsid w:val="006464C2"/>
    <w:rsid w:val="00646840"/>
    <w:rsid w:val="00651A2B"/>
    <w:rsid w:val="00661A5C"/>
    <w:rsid w:val="006825B6"/>
    <w:rsid w:val="00685D53"/>
    <w:rsid w:val="00692A8A"/>
    <w:rsid w:val="006A2D90"/>
    <w:rsid w:val="006A52AB"/>
    <w:rsid w:val="006B119A"/>
    <w:rsid w:val="006B2D5C"/>
    <w:rsid w:val="006B3797"/>
    <w:rsid w:val="006C1B65"/>
    <w:rsid w:val="006C1F99"/>
    <w:rsid w:val="006D5FC2"/>
    <w:rsid w:val="006D7633"/>
    <w:rsid w:val="006E2470"/>
    <w:rsid w:val="006E2D64"/>
    <w:rsid w:val="006E2FC5"/>
    <w:rsid w:val="006E4A84"/>
    <w:rsid w:val="006E7208"/>
    <w:rsid w:val="006F62D2"/>
    <w:rsid w:val="007028F1"/>
    <w:rsid w:val="00710328"/>
    <w:rsid w:val="0071193A"/>
    <w:rsid w:val="00713AEA"/>
    <w:rsid w:val="00715BC1"/>
    <w:rsid w:val="00720747"/>
    <w:rsid w:val="0072163F"/>
    <w:rsid w:val="00723A93"/>
    <w:rsid w:val="0072744C"/>
    <w:rsid w:val="00727E36"/>
    <w:rsid w:val="007345EC"/>
    <w:rsid w:val="0073574A"/>
    <w:rsid w:val="00736932"/>
    <w:rsid w:val="007464C5"/>
    <w:rsid w:val="00753149"/>
    <w:rsid w:val="00765538"/>
    <w:rsid w:val="00770E3E"/>
    <w:rsid w:val="007803C3"/>
    <w:rsid w:val="00784942"/>
    <w:rsid w:val="00796455"/>
    <w:rsid w:val="007A16AD"/>
    <w:rsid w:val="007A3CD7"/>
    <w:rsid w:val="007B3EAD"/>
    <w:rsid w:val="007C0A4D"/>
    <w:rsid w:val="007C6F58"/>
    <w:rsid w:val="007D131D"/>
    <w:rsid w:val="007D1E41"/>
    <w:rsid w:val="007D6898"/>
    <w:rsid w:val="007F33D1"/>
    <w:rsid w:val="007F58DB"/>
    <w:rsid w:val="007F5A29"/>
    <w:rsid w:val="008001FA"/>
    <w:rsid w:val="00800F60"/>
    <w:rsid w:val="00801CAC"/>
    <w:rsid w:val="0080462B"/>
    <w:rsid w:val="00810A8F"/>
    <w:rsid w:val="00811C1D"/>
    <w:rsid w:val="00817552"/>
    <w:rsid w:val="00821FFD"/>
    <w:rsid w:val="00825C3F"/>
    <w:rsid w:val="0082631B"/>
    <w:rsid w:val="00826C8D"/>
    <w:rsid w:val="008305F8"/>
    <w:rsid w:val="00831B5F"/>
    <w:rsid w:val="008349DE"/>
    <w:rsid w:val="00840E05"/>
    <w:rsid w:val="00840E30"/>
    <w:rsid w:val="00843E21"/>
    <w:rsid w:val="00845A1E"/>
    <w:rsid w:val="00861C31"/>
    <w:rsid w:val="008622DD"/>
    <w:rsid w:val="00864101"/>
    <w:rsid w:val="0086651F"/>
    <w:rsid w:val="008707E1"/>
    <w:rsid w:val="008734FF"/>
    <w:rsid w:val="0088132D"/>
    <w:rsid w:val="00884166"/>
    <w:rsid w:val="0089024D"/>
    <w:rsid w:val="00894618"/>
    <w:rsid w:val="008975C9"/>
    <w:rsid w:val="008A2A1D"/>
    <w:rsid w:val="008A5FD0"/>
    <w:rsid w:val="008A6AEF"/>
    <w:rsid w:val="008B185E"/>
    <w:rsid w:val="008B4773"/>
    <w:rsid w:val="008C37EA"/>
    <w:rsid w:val="008C3BCB"/>
    <w:rsid w:val="008C462E"/>
    <w:rsid w:val="008D372F"/>
    <w:rsid w:val="008D532A"/>
    <w:rsid w:val="008E131C"/>
    <w:rsid w:val="008F16E7"/>
    <w:rsid w:val="008F401F"/>
    <w:rsid w:val="008F6211"/>
    <w:rsid w:val="008F759D"/>
    <w:rsid w:val="009069E0"/>
    <w:rsid w:val="009202A2"/>
    <w:rsid w:val="009237FB"/>
    <w:rsid w:val="009256E2"/>
    <w:rsid w:val="00932982"/>
    <w:rsid w:val="00935888"/>
    <w:rsid w:val="00936137"/>
    <w:rsid w:val="009366D2"/>
    <w:rsid w:val="00942B76"/>
    <w:rsid w:val="00942EA4"/>
    <w:rsid w:val="00956BEB"/>
    <w:rsid w:val="00957289"/>
    <w:rsid w:val="00967C08"/>
    <w:rsid w:val="009758F6"/>
    <w:rsid w:val="00976275"/>
    <w:rsid w:val="00980265"/>
    <w:rsid w:val="00984CEC"/>
    <w:rsid w:val="00997CF2"/>
    <w:rsid w:val="009B1471"/>
    <w:rsid w:val="009B2AA9"/>
    <w:rsid w:val="009D0F31"/>
    <w:rsid w:val="009D3A0B"/>
    <w:rsid w:val="009E1888"/>
    <w:rsid w:val="009E2662"/>
    <w:rsid w:val="009F3C7E"/>
    <w:rsid w:val="009F4892"/>
    <w:rsid w:val="009F67B7"/>
    <w:rsid w:val="00A004FF"/>
    <w:rsid w:val="00A04921"/>
    <w:rsid w:val="00A0567B"/>
    <w:rsid w:val="00A1212E"/>
    <w:rsid w:val="00A13230"/>
    <w:rsid w:val="00A20659"/>
    <w:rsid w:val="00A221A0"/>
    <w:rsid w:val="00A23C49"/>
    <w:rsid w:val="00A24664"/>
    <w:rsid w:val="00A27B12"/>
    <w:rsid w:val="00A33A1A"/>
    <w:rsid w:val="00A34BF4"/>
    <w:rsid w:val="00A35E2D"/>
    <w:rsid w:val="00A448B6"/>
    <w:rsid w:val="00A57FA0"/>
    <w:rsid w:val="00A66DF0"/>
    <w:rsid w:val="00A70811"/>
    <w:rsid w:val="00A73E6D"/>
    <w:rsid w:val="00A776E9"/>
    <w:rsid w:val="00A81D68"/>
    <w:rsid w:val="00A858BF"/>
    <w:rsid w:val="00A86E08"/>
    <w:rsid w:val="00A8779B"/>
    <w:rsid w:val="00A92631"/>
    <w:rsid w:val="00A958C3"/>
    <w:rsid w:val="00AA1333"/>
    <w:rsid w:val="00AA23B1"/>
    <w:rsid w:val="00AA6330"/>
    <w:rsid w:val="00AB02EC"/>
    <w:rsid w:val="00AB6A97"/>
    <w:rsid w:val="00AB6C05"/>
    <w:rsid w:val="00AE04B0"/>
    <w:rsid w:val="00AE213E"/>
    <w:rsid w:val="00AF18DC"/>
    <w:rsid w:val="00AF1B4D"/>
    <w:rsid w:val="00AF6862"/>
    <w:rsid w:val="00AF7B47"/>
    <w:rsid w:val="00B043A7"/>
    <w:rsid w:val="00B117D3"/>
    <w:rsid w:val="00B12467"/>
    <w:rsid w:val="00B12966"/>
    <w:rsid w:val="00B218E0"/>
    <w:rsid w:val="00B346AD"/>
    <w:rsid w:val="00B34B02"/>
    <w:rsid w:val="00B35DD4"/>
    <w:rsid w:val="00B439E8"/>
    <w:rsid w:val="00B45023"/>
    <w:rsid w:val="00B46361"/>
    <w:rsid w:val="00B4686F"/>
    <w:rsid w:val="00B46FDB"/>
    <w:rsid w:val="00B51A7B"/>
    <w:rsid w:val="00B55042"/>
    <w:rsid w:val="00B60001"/>
    <w:rsid w:val="00B6011C"/>
    <w:rsid w:val="00B620C9"/>
    <w:rsid w:val="00B72162"/>
    <w:rsid w:val="00B72AD9"/>
    <w:rsid w:val="00B775DB"/>
    <w:rsid w:val="00B8628A"/>
    <w:rsid w:val="00BA6D3F"/>
    <w:rsid w:val="00BB13EC"/>
    <w:rsid w:val="00BB1B45"/>
    <w:rsid w:val="00BB3290"/>
    <w:rsid w:val="00BB622B"/>
    <w:rsid w:val="00BD35A0"/>
    <w:rsid w:val="00BD62D9"/>
    <w:rsid w:val="00BD67E7"/>
    <w:rsid w:val="00BE0D33"/>
    <w:rsid w:val="00C043C9"/>
    <w:rsid w:val="00C10AA4"/>
    <w:rsid w:val="00C24F0B"/>
    <w:rsid w:val="00C344E3"/>
    <w:rsid w:val="00C35913"/>
    <w:rsid w:val="00C375A4"/>
    <w:rsid w:val="00C41CBD"/>
    <w:rsid w:val="00C42C43"/>
    <w:rsid w:val="00C541AA"/>
    <w:rsid w:val="00C54203"/>
    <w:rsid w:val="00C549B2"/>
    <w:rsid w:val="00C64B95"/>
    <w:rsid w:val="00C67B96"/>
    <w:rsid w:val="00C7271B"/>
    <w:rsid w:val="00C80798"/>
    <w:rsid w:val="00C808A3"/>
    <w:rsid w:val="00C8222C"/>
    <w:rsid w:val="00C8322A"/>
    <w:rsid w:val="00C84DE9"/>
    <w:rsid w:val="00C86793"/>
    <w:rsid w:val="00C9360F"/>
    <w:rsid w:val="00C94A60"/>
    <w:rsid w:val="00C96AC3"/>
    <w:rsid w:val="00C97B9A"/>
    <w:rsid w:val="00CA106A"/>
    <w:rsid w:val="00CA5755"/>
    <w:rsid w:val="00CB5988"/>
    <w:rsid w:val="00CC1C7B"/>
    <w:rsid w:val="00CC2336"/>
    <w:rsid w:val="00CC2645"/>
    <w:rsid w:val="00CC2A34"/>
    <w:rsid w:val="00CC5418"/>
    <w:rsid w:val="00CC7632"/>
    <w:rsid w:val="00CD0DC4"/>
    <w:rsid w:val="00CE1F3E"/>
    <w:rsid w:val="00CE4BC8"/>
    <w:rsid w:val="00CF57E0"/>
    <w:rsid w:val="00CF61CC"/>
    <w:rsid w:val="00D0000B"/>
    <w:rsid w:val="00D063F2"/>
    <w:rsid w:val="00D13A7B"/>
    <w:rsid w:val="00D13F02"/>
    <w:rsid w:val="00D163FA"/>
    <w:rsid w:val="00D22B33"/>
    <w:rsid w:val="00D25EC9"/>
    <w:rsid w:val="00D34699"/>
    <w:rsid w:val="00D369F3"/>
    <w:rsid w:val="00D41B6F"/>
    <w:rsid w:val="00D512F1"/>
    <w:rsid w:val="00D52B48"/>
    <w:rsid w:val="00D60461"/>
    <w:rsid w:val="00D62FA5"/>
    <w:rsid w:val="00D65534"/>
    <w:rsid w:val="00D663E4"/>
    <w:rsid w:val="00D77638"/>
    <w:rsid w:val="00D83AF9"/>
    <w:rsid w:val="00D84727"/>
    <w:rsid w:val="00D91565"/>
    <w:rsid w:val="00D92923"/>
    <w:rsid w:val="00DA157E"/>
    <w:rsid w:val="00DA27EC"/>
    <w:rsid w:val="00DA3292"/>
    <w:rsid w:val="00DA38B6"/>
    <w:rsid w:val="00DB1FD1"/>
    <w:rsid w:val="00DC2899"/>
    <w:rsid w:val="00DC5F77"/>
    <w:rsid w:val="00DD07C9"/>
    <w:rsid w:val="00DD1814"/>
    <w:rsid w:val="00DD3DDB"/>
    <w:rsid w:val="00DE1113"/>
    <w:rsid w:val="00DE1DA9"/>
    <w:rsid w:val="00DF050C"/>
    <w:rsid w:val="00DF3EE3"/>
    <w:rsid w:val="00E00741"/>
    <w:rsid w:val="00E0268A"/>
    <w:rsid w:val="00E04FC5"/>
    <w:rsid w:val="00E052D2"/>
    <w:rsid w:val="00E14905"/>
    <w:rsid w:val="00E2121A"/>
    <w:rsid w:val="00E21DC9"/>
    <w:rsid w:val="00E22B23"/>
    <w:rsid w:val="00E311A3"/>
    <w:rsid w:val="00E31792"/>
    <w:rsid w:val="00E32C93"/>
    <w:rsid w:val="00E355E7"/>
    <w:rsid w:val="00E47280"/>
    <w:rsid w:val="00E47B51"/>
    <w:rsid w:val="00E565FF"/>
    <w:rsid w:val="00E56B17"/>
    <w:rsid w:val="00E64C7B"/>
    <w:rsid w:val="00E72F50"/>
    <w:rsid w:val="00E757EE"/>
    <w:rsid w:val="00E80D4E"/>
    <w:rsid w:val="00E82CDF"/>
    <w:rsid w:val="00E83D8B"/>
    <w:rsid w:val="00E84BA3"/>
    <w:rsid w:val="00E856DF"/>
    <w:rsid w:val="00E94E66"/>
    <w:rsid w:val="00EB0CBE"/>
    <w:rsid w:val="00EB4B3D"/>
    <w:rsid w:val="00EB602A"/>
    <w:rsid w:val="00ED628B"/>
    <w:rsid w:val="00ED7138"/>
    <w:rsid w:val="00EE05CD"/>
    <w:rsid w:val="00EE09C6"/>
    <w:rsid w:val="00EE2B8F"/>
    <w:rsid w:val="00F00CF9"/>
    <w:rsid w:val="00F05292"/>
    <w:rsid w:val="00F10499"/>
    <w:rsid w:val="00F10660"/>
    <w:rsid w:val="00F165D7"/>
    <w:rsid w:val="00F203ED"/>
    <w:rsid w:val="00F218A4"/>
    <w:rsid w:val="00F21922"/>
    <w:rsid w:val="00F21FB3"/>
    <w:rsid w:val="00F229FC"/>
    <w:rsid w:val="00F24F1B"/>
    <w:rsid w:val="00F258BB"/>
    <w:rsid w:val="00F26EF1"/>
    <w:rsid w:val="00F26EFB"/>
    <w:rsid w:val="00F339AD"/>
    <w:rsid w:val="00F34728"/>
    <w:rsid w:val="00F34BFD"/>
    <w:rsid w:val="00F4029B"/>
    <w:rsid w:val="00F50F6A"/>
    <w:rsid w:val="00F5353C"/>
    <w:rsid w:val="00F6195B"/>
    <w:rsid w:val="00F63199"/>
    <w:rsid w:val="00F63260"/>
    <w:rsid w:val="00F63661"/>
    <w:rsid w:val="00F7209E"/>
    <w:rsid w:val="00F736F2"/>
    <w:rsid w:val="00F75B7E"/>
    <w:rsid w:val="00F76410"/>
    <w:rsid w:val="00F769BB"/>
    <w:rsid w:val="00F80669"/>
    <w:rsid w:val="00F84F1D"/>
    <w:rsid w:val="00F85D9D"/>
    <w:rsid w:val="00F918D4"/>
    <w:rsid w:val="00F93F9A"/>
    <w:rsid w:val="00FA2088"/>
    <w:rsid w:val="00FA4DC8"/>
    <w:rsid w:val="00FB5C0A"/>
    <w:rsid w:val="00FB7F98"/>
    <w:rsid w:val="00FC03BB"/>
    <w:rsid w:val="00FC0667"/>
    <w:rsid w:val="00FC4C4D"/>
    <w:rsid w:val="00FC7482"/>
    <w:rsid w:val="00FD034C"/>
    <w:rsid w:val="00FD2D38"/>
    <w:rsid w:val="00FE6AB5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9EE082"/>
  <w15:docId w15:val="{556342A4-F879-4E4F-A3E7-C13A1CF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7E"/>
  </w:style>
  <w:style w:type="paragraph" w:styleId="Heading1">
    <w:name w:val="heading 1"/>
    <w:basedOn w:val="Normal"/>
    <w:next w:val="Normal"/>
    <w:link w:val="Heading1Char"/>
    <w:uiPriority w:val="9"/>
    <w:qFormat/>
    <w:rsid w:val="0002245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232D4B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529EA"/>
    <w:pPr>
      <w:spacing w:before="360"/>
      <w:outlineLvl w:val="1"/>
    </w:pPr>
    <w:rPr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"/>
    <w:uiPriority w:val="34"/>
    <w:qFormat/>
    <w:rsid w:val="002B23E5"/>
    <w:pPr>
      <w:numPr>
        <w:numId w:val="25"/>
      </w:numPr>
      <w:spacing w:after="160"/>
    </w:pPr>
    <w:rPr>
      <w:rFonts w:cs="Arial"/>
      <w:szCs w:val="21"/>
    </w:rPr>
  </w:style>
  <w:style w:type="paragraph" w:styleId="NormalWeb">
    <w:name w:val="Normal (Web)"/>
    <w:basedOn w:val="Normal"/>
    <w:uiPriority w:val="99"/>
    <w:semiHidden/>
    <w:unhideWhenUsed/>
    <w:rsid w:val="00572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2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D7"/>
  </w:style>
  <w:style w:type="paragraph" w:styleId="Footer">
    <w:name w:val="footer"/>
    <w:basedOn w:val="Normal"/>
    <w:link w:val="FooterChar"/>
    <w:uiPriority w:val="99"/>
    <w:unhideWhenUsed/>
    <w:rsid w:val="0007575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i/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7575A"/>
    <w:rPr>
      <w:rFonts w:ascii="Arial" w:hAnsi="Arial"/>
      <w:i/>
      <w:color w:val="595959" w:themeColor="text1" w:themeTint="A6"/>
      <w:sz w:val="20"/>
    </w:rPr>
  </w:style>
  <w:style w:type="paragraph" w:customStyle="1" w:styleId="Default">
    <w:name w:val="Default"/>
    <w:rsid w:val="000A6B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A3292"/>
    <w:rPr>
      <w:color w:val="808080"/>
    </w:rPr>
  </w:style>
  <w:style w:type="paragraph" w:customStyle="1" w:styleId="Heading">
    <w:name w:val="_Heading"/>
    <w:basedOn w:val="Normal"/>
    <w:qFormat/>
    <w:rsid w:val="00D063F2"/>
    <w:pPr>
      <w:pBdr>
        <w:bottom w:val="single" w:sz="4" w:space="1" w:color="244061" w:themeColor="accent1" w:themeShade="80"/>
      </w:pBdr>
      <w:spacing w:after="120" w:line="240" w:lineRule="auto"/>
    </w:pPr>
    <w:rPr>
      <w:rFonts w:ascii="Times New Roman" w:hAnsi="Times New Roman" w:cs="Times New Roman"/>
      <w:color w:val="244061" w:themeColor="accent1" w:themeShade="80"/>
      <w:sz w:val="28"/>
      <w:szCs w:val="30"/>
    </w:rPr>
  </w:style>
  <w:style w:type="paragraph" w:customStyle="1" w:styleId="xmsonormal">
    <w:name w:val="x_msonormal"/>
    <w:basedOn w:val="Normal"/>
    <w:rsid w:val="0059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549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2450"/>
    <w:rPr>
      <w:rFonts w:asciiTheme="majorHAnsi" w:eastAsiaTheme="majorEastAsia" w:hAnsiTheme="majorHAnsi" w:cstheme="majorBidi"/>
      <w:b/>
      <w:color w:val="232D4B"/>
      <w:sz w:val="32"/>
      <w:szCs w:val="32"/>
    </w:rPr>
  </w:style>
  <w:style w:type="paragraph" w:customStyle="1" w:styleId="Body">
    <w:name w:val="Body"/>
    <w:basedOn w:val="Normal"/>
    <w:qFormat/>
    <w:rsid w:val="002B23E5"/>
    <w:pPr>
      <w:spacing w:after="120" w:line="288" w:lineRule="auto"/>
    </w:pPr>
    <w:rPr>
      <w:rFonts w:ascii="Arial" w:hAnsi="Arial" w:cs="Segoe UI"/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9"/>
    <w:rsid w:val="000529EA"/>
    <w:rPr>
      <w:rFonts w:asciiTheme="majorHAnsi" w:eastAsiaTheme="majorEastAsia" w:hAnsiTheme="majorHAnsi" w:cstheme="majorBidi"/>
      <w:b/>
      <w:color w:val="232D4B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22450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b/>
      <w:color w:val="232D4B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450"/>
    <w:rPr>
      <w:rFonts w:asciiTheme="majorHAnsi" w:eastAsiaTheme="majorEastAsia" w:hAnsiTheme="majorHAnsi" w:cstheme="majorBidi"/>
      <w:b/>
      <w:color w:val="232D4B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88736CC7A674985EB5E84DBE46582" ma:contentTypeVersion="10" ma:contentTypeDescription="Create a new document." ma:contentTypeScope="" ma:versionID="9ac260483cb75447123dee4ddaf86037">
  <xsd:schema xmlns:xsd="http://www.w3.org/2001/XMLSchema" xmlns:xs="http://www.w3.org/2001/XMLSchema" xmlns:p="http://schemas.microsoft.com/office/2006/metadata/properties" xmlns:ns3="b3fdc89b-f717-4558-8f47-fcdcf8f88bb3" targetNamespace="http://schemas.microsoft.com/office/2006/metadata/properties" ma:root="true" ma:fieldsID="ceae5b2e44035eec826d63282347f6ae" ns3:_="">
    <xsd:import namespace="b3fdc89b-f717-4558-8f47-fcdcf8f88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c89b-f717-4558-8f47-fcdcf8f88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1B098-A28E-42C7-8C7D-F9F3B16D4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0507FA-A4E9-49B7-908B-A349FDEF4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8B2533-CE4A-42AA-B5ED-9BE2A14B3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dc89b-f717-4558-8f47-fcdcf8f88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FDDA8-63A6-4A29-BDEE-27D3B6C07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1217</Words>
  <Characters>6939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Shonel Sen</dc:creator>
  <cp:lastModifiedBy>Muldoon, Amy J (ajm6u)</cp:lastModifiedBy>
  <cp:revision>3</cp:revision>
  <cp:lastPrinted>2016-09-21T16:04:00Z</cp:lastPrinted>
  <dcterms:created xsi:type="dcterms:W3CDTF">2025-07-02T15:14:00Z</dcterms:created>
  <dcterms:modified xsi:type="dcterms:W3CDTF">2025-07-02T15:16:00Z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0x010100DCC88736CC7A674985EB5E84DBE46582</vt:lpwstr>
  </property>
</Properties>
</file>